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8148E" w14:textId="5C8BDDED" w:rsidR="00EC4B2B" w:rsidRDefault="00751D05" w:rsidP="00751D05">
      <w:pPr>
        <w:shd w:val="clear" w:color="auto" w:fill="FFFFFF"/>
        <w:tabs>
          <w:tab w:val="right" w:pos="8306"/>
        </w:tabs>
        <w:spacing w:after="0" w:line="360" w:lineRule="auto"/>
        <w:jc w:val="both"/>
        <w:rPr>
          <w:rFonts w:ascii="David" w:eastAsia="Times New Roman" w:hAnsi="David" w:cs="David"/>
          <w:sz w:val="24"/>
          <w:szCs w:val="24"/>
          <w:rtl/>
        </w:rPr>
      </w:pPr>
      <w:r>
        <w:rPr>
          <w:rFonts w:ascii="David" w:eastAsia="Times New Roman" w:hAnsi="David" w:cs="David" w:hint="cs"/>
          <w:b/>
          <w:bCs/>
          <w:sz w:val="28"/>
          <w:szCs w:val="28"/>
          <w:u w:val="single"/>
          <w:rtl/>
        </w:rPr>
        <w:t>בבית משפט העליון בירושלים</w:t>
      </w:r>
      <w:r w:rsidR="00EC4B2B" w:rsidRPr="00EC4B2B">
        <w:rPr>
          <w:rFonts w:ascii="David" w:eastAsia="Times New Roman" w:hAnsi="David" w:cs="David"/>
          <w:b/>
          <w:bCs/>
          <w:sz w:val="28"/>
          <w:szCs w:val="28"/>
          <w:rtl/>
        </w:rPr>
        <w:tab/>
      </w:r>
      <w:r w:rsidR="00CC404E">
        <w:rPr>
          <w:rFonts w:ascii="David" w:eastAsia="Times New Roman" w:hAnsi="David" w:cs="David" w:hint="cs"/>
          <w:b/>
          <w:bCs/>
          <w:sz w:val="28"/>
          <w:szCs w:val="28"/>
          <w:u w:val="single"/>
          <w:rtl/>
        </w:rPr>
        <w:t>ע"פ</w:t>
      </w:r>
    </w:p>
    <w:p w14:paraId="72394880" w14:textId="3AAAB1ED" w:rsidR="00053FAC" w:rsidRDefault="00751D05" w:rsidP="005B600F">
      <w:pPr>
        <w:shd w:val="clear" w:color="auto" w:fill="FFFFFF"/>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 xml:space="preserve">בשיבתו כבית משפט </w:t>
      </w:r>
      <w:r w:rsidR="00CC404E">
        <w:rPr>
          <w:rFonts w:ascii="David" w:eastAsia="Times New Roman" w:hAnsi="David" w:cs="David" w:hint="cs"/>
          <w:sz w:val="24"/>
          <w:szCs w:val="24"/>
          <w:rtl/>
        </w:rPr>
        <w:t>לערעורים</w:t>
      </w:r>
    </w:p>
    <w:p w14:paraId="1A9F4A31" w14:textId="77777777" w:rsidR="00751D05" w:rsidRDefault="00751D05" w:rsidP="005B600F">
      <w:pPr>
        <w:shd w:val="clear" w:color="auto" w:fill="FFFFFF"/>
        <w:spacing w:after="0" w:line="360" w:lineRule="auto"/>
        <w:jc w:val="both"/>
        <w:rPr>
          <w:rFonts w:ascii="David" w:eastAsia="Times New Roman" w:hAnsi="David" w:cs="David"/>
          <w:sz w:val="24"/>
          <w:szCs w:val="24"/>
          <w:rtl/>
        </w:rPr>
      </w:pPr>
    </w:p>
    <w:p w14:paraId="6BEDFEA8" w14:textId="77777777" w:rsidR="00C917AF" w:rsidRDefault="00C917AF" w:rsidP="005B600F">
      <w:pPr>
        <w:shd w:val="clear" w:color="auto" w:fill="FFFFFF"/>
        <w:spacing w:after="0" w:line="360" w:lineRule="auto"/>
        <w:jc w:val="both"/>
        <w:rPr>
          <w:rFonts w:ascii="David" w:eastAsia="Times New Roman" w:hAnsi="David" w:cs="David"/>
          <w:sz w:val="24"/>
          <w:szCs w:val="24"/>
          <w:rtl/>
        </w:rPr>
      </w:pPr>
    </w:p>
    <w:p w14:paraId="244F7077" w14:textId="77777777" w:rsidR="00C917AF" w:rsidRDefault="00C917AF" w:rsidP="005B600F">
      <w:pPr>
        <w:shd w:val="clear" w:color="auto" w:fill="FFFFFF"/>
        <w:spacing w:after="0" w:line="360" w:lineRule="auto"/>
        <w:jc w:val="both"/>
        <w:rPr>
          <w:rFonts w:ascii="David" w:eastAsia="Times New Roman" w:hAnsi="David" w:cs="David"/>
          <w:sz w:val="24"/>
          <w:szCs w:val="24"/>
          <w:rtl/>
        </w:rPr>
      </w:pPr>
    </w:p>
    <w:p w14:paraId="169A3B68" w14:textId="5226B886" w:rsidR="00751D05" w:rsidRPr="00CC404E" w:rsidRDefault="00C917AF" w:rsidP="005B600F">
      <w:pPr>
        <w:shd w:val="clear" w:color="auto" w:fill="FFFFFF"/>
        <w:spacing w:after="0" w:line="360" w:lineRule="auto"/>
        <w:jc w:val="both"/>
        <w:rPr>
          <w:rFonts w:ascii="David" w:eastAsia="Times New Roman" w:hAnsi="David" w:cs="David"/>
          <w:b/>
          <w:bCs/>
          <w:sz w:val="36"/>
          <w:szCs w:val="36"/>
          <w:u w:val="single"/>
          <w:rtl/>
        </w:rPr>
      </w:pPr>
      <w:r>
        <w:rPr>
          <w:rFonts w:ascii="David" w:eastAsia="Times New Roman" w:hAnsi="David" w:cs="David" w:hint="cs"/>
          <w:sz w:val="36"/>
          <w:szCs w:val="36"/>
          <w:rtl/>
        </w:rPr>
        <w:t xml:space="preserve">        </w:t>
      </w:r>
      <w:r w:rsidR="00751D05" w:rsidRPr="00C917AF">
        <w:rPr>
          <w:rFonts w:ascii="David" w:eastAsia="Times New Roman" w:hAnsi="David" w:cs="David" w:hint="cs"/>
          <w:sz w:val="36"/>
          <w:szCs w:val="36"/>
          <w:rtl/>
        </w:rPr>
        <w:t xml:space="preserve">  </w:t>
      </w:r>
      <w:r w:rsidR="00CC404E">
        <w:rPr>
          <w:rFonts w:ascii="David" w:eastAsia="Times New Roman" w:hAnsi="David" w:cs="David" w:hint="cs"/>
          <w:sz w:val="36"/>
          <w:szCs w:val="36"/>
          <w:rtl/>
        </w:rPr>
        <w:t xml:space="preserve">                    </w:t>
      </w:r>
      <w:r w:rsidR="00751D05" w:rsidRPr="00C917AF">
        <w:rPr>
          <w:rFonts w:ascii="David" w:eastAsia="Times New Roman" w:hAnsi="David" w:cs="David" w:hint="cs"/>
          <w:sz w:val="36"/>
          <w:szCs w:val="36"/>
          <w:rtl/>
        </w:rPr>
        <w:t xml:space="preserve"> </w:t>
      </w:r>
      <w:r w:rsidR="00CC404E">
        <w:rPr>
          <w:rFonts w:ascii="David" w:eastAsia="Times New Roman" w:hAnsi="David" w:cs="David" w:hint="cs"/>
          <w:sz w:val="36"/>
          <w:szCs w:val="36"/>
          <w:rtl/>
        </w:rPr>
        <w:t xml:space="preserve"> </w:t>
      </w:r>
      <w:r w:rsidR="00751D05" w:rsidRPr="00C917AF">
        <w:rPr>
          <w:rFonts w:ascii="David" w:eastAsia="Times New Roman" w:hAnsi="David" w:cs="David" w:hint="cs"/>
          <w:sz w:val="36"/>
          <w:szCs w:val="36"/>
          <w:rtl/>
        </w:rPr>
        <w:t xml:space="preserve">  </w:t>
      </w:r>
      <w:r w:rsidR="00CC404E">
        <w:rPr>
          <w:rFonts w:ascii="David" w:eastAsia="Times New Roman" w:hAnsi="David" w:cs="David" w:hint="cs"/>
          <w:sz w:val="36"/>
          <w:szCs w:val="36"/>
          <w:rtl/>
        </w:rPr>
        <w:t>1.</w:t>
      </w:r>
      <w:r w:rsidR="00751D05" w:rsidRPr="00C917AF">
        <w:rPr>
          <w:rFonts w:ascii="David" w:eastAsia="Times New Roman" w:hAnsi="David" w:cs="David" w:hint="cs"/>
          <w:sz w:val="36"/>
          <w:szCs w:val="36"/>
          <w:rtl/>
        </w:rPr>
        <w:t xml:space="preserve"> </w:t>
      </w:r>
      <w:r w:rsidR="00751D05" w:rsidRPr="00C917AF">
        <w:rPr>
          <w:rFonts w:ascii="David" w:eastAsia="Times New Roman" w:hAnsi="David" w:cs="David" w:hint="cs"/>
          <w:b/>
          <w:bCs/>
          <w:sz w:val="36"/>
          <w:szCs w:val="36"/>
          <w:rtl/>
        </w:rPr>
        <w:t>איתמר שמעוני</w:t>
      </w:r>
      <w:r w:rsidR="00CC404E">
        <w:rPr>
          <w:rFonts w:ascii="David" w:eastAsia="Times New Roman" w:hAnsi="David" w:cs="David" w:hint="cs"/>
          <w:b/>
          <w:bCs/>
          <w:sz w:val="36"/>
          <w:szCs w:val="36"/>
          <w:rtl/>
        </w:rPr>
        <w:t xml:space="preserve"> -               </w:t>
      </w:r>
      <w:r w:rsidR="00CC404E">
        <w:rPr>
          <w:rFonts w:ascii="David" w:eastAsia="Times New Roman" w:hAnsi="David" w:cs="David" w:hint="cs"/>
          <w:b/>
          <w:bCs/>
          <w:sz w:val="36"/>
          <w:szCs w:val="36"/>
          <w:u w:val="single"/>
          <w:rtl/>
        </w:rPr>
        <w:t>המערערים</w:t>
      </w:r>
    </w:p>
    <w:p w14:paraId="3FB5058C" w14:textId="20938233" w:rsidR="00CC404E" w:rsidRPr="00CC404E" w:rsidRDefault="00CC404E" w:rsidP="005B600F">
      <w:pPr>
        <w:shd w:val="clear" w:color="auto" w:fill="FFFFFF"/>
        <w:spacing w:after="0" w:line="360" w:lineRule="auto"/>
        <w:jc w:val="both"/>
        <w:rPr>
          <w:rFonts w:ascii="David" w:eastAsia="Times New Roman" w:hAnsi="David" w:cs="David"/>
          <w:sz w:val="36"/>
          <w:szCs w:val="36"/>
          <w:rtl/>
        </w:rPr>
      </w:pPr>
      <w:r>
        <w:rPr>
          <w:rFonts w:ascii="David" w:eastAsia="Times New Roman" w:hAnsi="David" w:cs="David" w:hint="cs"/>
          <w:b/>
          <w:bCs/>
          <w:sz w:val="36"/>
          <w:szCs w:val="36"/>
          <w:rtl/>
        </w:rPr>
        <w:t xml:space="preserve">                                  </w:t>
      </w:r>
      <w:r>
        <w:rPr>
          <w:rFonts w:ascii="David" w:eastAsia="Times New Roman" w:hAnsi="David" w:cs="David" w:hint="cs"/>
          <w:sz w:val="36"/>
          <w:szCs w:val="36"/>
          <w:rtl/>
        </w:rPr>
        <w:t xml:space="preserve">2. </w:t>
      </w:r>
      <w:r w:rsidRPr="00CC404E">
        <w:rPr>
          <w:rFonts w:ascii="David" w:eastAsia="Times New Roman" w:hAnsi="David" w:cs="David" w:hint="cs"/>
          <w:b/>
          <w:bCs/>
          <w:sz w:val="36"/>
          <w:szCs w:val="36"/>
          <w:rtl/>
        </w:rPr>
        <w:t>עופר שמעוני</w:t>
      </w:r>
    </w:p>
    <w:p w14:paraId="008EF6E4" w14:textId="77777777" w:rsidR="00F94B1F" w:rsidRDefault="00F94B1F" w:rsidP="00F94B1F">
      <w:pPr>
        <w:shd w:val="clear" w:color="auto" w:fill="FFFFFF"/>
        <w:spacing w:after="0" w:line="360" w:lineRule="auto"/>
        <w:jc w:val="center"/>
        <w:rPr>
          <w:rFonts w:ascii="David" w:eastAsia="Times New Roman" w:hAnsi="David" w:cs="David"/>
          <w:sz w:val="28"/>
          <w:szCs w:val="28"/>
          <w:rtl/>
        </w:rPr>
      </w:pPr>
      <w:r>
        <w:rPr>
          <w:rFonts w:ascii="David" w:eastAsia="Times New Roman" w:hAnsi="David" w:cs="David" w:hint="cs"/>
          <w:sz w:val="28"/>
          <w:szCs w:val="28"/>
          <w:rtl/>
        </w:rPr>
        <w:t xml:space="preserve">שניהם באמצעות עו"ד אשר אוחיון </w:t>
      </w:r>
    </w:p>
    <w:p w14:paraId="078AE75E" w14:textId="36C645D5" w:rsidR="00A20C87" w:rsidRDefault="00A20C87" w:rsidP="00A20C87">
      <w:pPr>
        <w:shd w:val="clear" w:color="auto" w:fill="FFFFFF"/>
        <w:spacing w:after="0" w:line="360" w:lineRule="auto"/>
        <w:rPr>
          <w:rFonts w:ascii="David" w:eastAsia="Times New Roman" w:hAnsi="David" w:cs="David"/>
          <w:sz w:val="28"/>
          <w:szCs w:val="28"/>
          <w:rtl/>
        </w:rPr>
      </w:pPr>
      <w:r>
        <w:rPr>
          <w:rFonts w:ascii="David" w:eastAsia="Times New Roman" w:hAnsi="David" w:cs="David" w:hint="cs"/>
          <w:sz w:val="28"/>
          <w:szCs w:val="28"/>
          <w:rtl/>
        </w:rPr>
        <w:t xml:space="preserve">                                       </w:t>
      </w:r>
      <w:r w:rsidR="00F94B1F">
        <w:rPr>
          <w:rFonts w:ascii="David" w:eastAsia="Times New Roman" w:hAnsi="David" w:cs="David" w:hint="cs"/>
          <w:sz w:val="28"/>
          <w:szCs w:val="28"/>
          <w:rtl/>
        </w:rPr>
        <w:t>מרחוב שמואל הנגיד 27, ירושלים</w:t>
      </w:r>
    </w:p>
    <w:p w14:paraId="76AB259A" w14:textId="5AD063A0" w:rsidR="00F94B1F" w:rsidRDefault="00F94B1F" w:rsidP="00A20C87">
      <w:pPr>
        <w:shd w:val="clear" w:color="auto" w:fill="FFFFFF"/>
        <w:spacing w:after="0" w:line="360" w:lineRule="auto"/>
        <w:jc w:val="center"/>
        <w:rPr>
          <w:rFonts w:ascii="David" w:eastAsia="Times New Roman" w:hAnsi="David" w:cs="David"/>
          <w:sz w:val="28"/>
          <w:szCs w:val="28"/>
          <w:rtl/>
        </w:rPr>
      </w:pPr>
      <w:r>
        <w:rPr>
          <w:rFonts w:ascii="David" w:eastAsia="Times New Roman" w:hAnsi="David" w:cs="David" w:hint="cs"/>
          <w:sz w:val="28"/>
          <w:szCs w:val="28"/>
          <w:rtl/>
        </w:rPr>
        <w:t>טלפון 02-6248722</w:t>
      </w:r>
    </w:p>
    <w:p w14:paraId="712C1DAC" w14:textId="32BF1150" w:rsidR="00F94B1F" w:rsidRPr="00F94B1F" w:rsidRDefault="00F94B1F" w:rsidP="00F94B1F">
      <w:pPr>
        <w:shd w:val="clear" w:color="auto" w:fill="FFFFFF"/>
        <w:spacing w:after="0" w:line="360" w:lineRule="auto"/>
        <w:jc w:val="center"/>
        <w:rPr>
          <w:rFonts w:ascii="David" w:eastAsia="Times New Roman" w:hAnsi="David" w:cs="David"/>
          <w:sz w:val="28"/>
          <w:szCs w:val="28"/>
          <w:rtl/>
        </w:rPr>
      </w:pPr>
      <w:r>
        <w:rPr>
          <w:rFonts w:ascii="David" w:eastAsia="Times New Roman" w:hAnsi="David" w:cs="David" w:hint="cs"/>
          <w:sz w:val="28"/>
          <w:szCs w:val="28"/>
          <w:rtl/>
        </w:rPr>
        <w:t>פקס 02-6259912</w:t>
      </w:r>
    </w:p>
    <w:p w14:paraId="4ABA980D" w14:textId="48A6BD72" w:rsidR="0041259B" w:rsidRPr="003E5495" w:rsidRDefault="00866782" w:rsidP="00CC404E">
      <w:pPr>
        <w:shd w:val="clear" w:color="auto" w:fill="FFFFFF"/>
        <w:spacing w:after="0" w:line="360" w:lineRule="auto"/>
        <w:jc w:val="both"/>
        <w:rPr>
          <w:rFonts w:ascii="David" w:eastAsia="Times New Roman" w:hAnsi="David" w:cs="David"/>
          <w:b/>
          <w:bCs/>
          <w:sz w:val="24"/>
          <w:szCs w:val="24"/>
          <w:u w:val="single"/>
          <w:rtl/>
        </w:rPr>
      </w:pPr>
      <w:r>
        <w:rPr>
          <w:rFonts w:ascii="David" w:eastAsia="Times New Roman" w:hAnsi="David" w:cs="David" w:hint="cs"/>
          <w:b/>
          <w:bCs/>
          <w:sz w:val="24"/>
          <w:szCs w:val="24"/>
          <w:rtl/>
        </w:rPr>
        <w:tab/>
      </w:r>
    </w:p>
    <w:p w14:paraId="7368066F" w14:textId="77777777" w:rsidR="003E5495" w:rsidRPr="00C917AF" w:rsidRDefault="00751D05" w:rsidP="00751D05">
      <w:pPr>
        <w:shd w:val="clear" w:color="auto" w:fill="FFFFFF"/>
        <w:spacing w:after="0" w:line="360" w:lineRule="auto"/>
        <w:jc w:val="both"/>
        <w:rPr>
          <w:rFonts w:ascii="David" w:eastAsia="Times New Roman" w:hAnsi="David" w:cs="David"/>
          <w:b/>
          <w:bCs/>
          <w:sz w:val="36"/>
          <w:szCs w:val="36"/>
          <w:rtl/>
        </w:rPr>
      </w:pPr>
      <w:r w:rsidRPr="00C917AF">
        <w:rPr>
          <w:rFonts w:ascii="David" w:eastAsia="Times New Roman" w:hAnsi="David" w:cs="David" w:hint="cs"/>
          <w:sz w:val="36"/>
          <w:szCs w:val="36"/>
          <w:rtl/>
        </w:rPr>
        <w:t xml:space="preserve">                                 </w:t>
      </w:r>
      <w:r w:rsidR="00C917AF">
        <w:rPr>
          <w:rFonts w:ascii="David" w:eastAsia="Times New Roman" w:hAnsi="David" w:cs="David" w:hint="cs"/>
          <w:sz w:val="36"/>
          <w:szCs w:val="36"/>
          <w:rtl/>
        </w:rPr>
        <w:t xml:space="preserve">       </w:t>
      </w:r>
      <w:r w:rsidRPr="00C917AF">
        <w:rPr>
          <w:rFonts w:ascii="David" w:eastAsia="Times New Roman" w:hAnsi="David" w:cs="David" w:hint="cs"/>
          <w:sz w:val="36"/>
          <w:szCs w:val="36"/>
          <w:rtl/>
        </w:rPr>
        <w:t xml:space="preserve">     </w:t>
      </w:r>
      <w:r w:rsidR="003E5495" w:rsidRPr="00C917AF">
        <w:rPr>
          <w:rFonts w:ascii="David" w:eastAsia="Times New Roman" w:hAnsi="David" w:cs="David"/>
          <w:b/>
          <w:bCs/>
          <w:sz w:val="36"/>
          <w:szCs w:val="36"/>
          <w:rtl/>
        </w:rPr>
        <w:t>נ</w:t>
      </w:r>
      <w:r w:rsidR="0041259B" w:rsidRPr="00C917AF">
        <w:rPr>
          <w:rFonts w:ascii="David" w:eastAsia="Times New Roman" w:hAnsi="David" w:cs="David" w:hint="cs"/>
          <w:b/>
          <w:bCs/>
          <w:sz w:val="36"/>
          <w:szCs w:val="36"/>
          <w:rtl/>
        </w:rPr>
        <w:t xml:space="preserve"> </w:t>
      </w:r>
      <w:r w:rsidR="003E5495" w:rsidRPr="00C917AF">
        <w:rPr>
          <w:rFonts w:ascii="David" w:eastAsia="Times New Roman" w:hAnsi="David" w:cs="David"/>
          <w:b/>
          <w:bCs/>
          <w:sz w:val="36"/>
          <w:szCs w:val="36"/>
          <w:rtl/>
        </w:rPr>
        <w:t>ג</w:t>
      </w:r>
      <w:r w:rsidR="0041259B" w:rsidRPr="00C917AF">
        <w:rPr>
          <w:rFonts w:ascii="David" w:eastAsia="Times New Roman" w:hAnsi="David" w:cs="David" w:hint="cs"/>
          <w:b/>
          <w:bCs/>
          <w:sz w:val="36"/>
          <w:szCs w:val="36"/>
          <w:rtl/>
        </w:rPr>
        <w:t xml:space="preserve"> </w:t>
      </w:r>
      <w:r w:rsidR="003E5495" w:rsidRPr="00C917AF">
        <w:rPr>
          <w:rFonts w:ascii="David" w:eastAsia="Times New Roman" w:hAnsi="David" w:cs="David"/>
          <w:b/>
          <w:bCs/>
          <w:sz w:val="36"/>
          <w:szCs w:val="36"/>
          <w:rtl/>
        </w:rPr>
        <w:t>ד</w:t>
      </w:r>
    </w:p>
    <w:p w14:paraId="78CBB6C0" w14:textId="77777777" w:rsidR="00EC4B2B" w:rsidRDefault="00EC4B2B" w:rsidP="005B600F">
      <w:pPr>
        <w:shd w:val="clear" w:color="auto" w:fill="FFFFFF"/>
        <w:spacing w:after="0" w:line="360" w:lineRule="auto"/>
        <w:jc w:val="both"/>
        <w:rPr>
          <w:rFonts w:ascii="David" w:eastAsia="Times New Roman" w:hAnsi="David" w:cs="David"/>
          <w:sz w:val="24"/>
          <w:szCs w:val="24"/>
          <w:rtl/>
        </w:rPr>
      </w:pPr>
    </w:p>
    <w:p w14:paraId="45713112" w14:textId="27CF3CAF" w:rsidR="00751D05" w:rsidRDefault="00CC404E" w:rsidP="00CC404E">
      <w:pPr>
        <w:shd w:val="clear" w:color="auto" w:fill="FFFFFF"/>
        <w:spacing w:after="0" w:line="360" w:lineRule="auto"/>
        <w:jc w:val="center"/>
        <w:rPr>
          <w:rFonts w:ascii="David" w:eastAsia="Times New Roman" w:hAnsi="David" w:cs="David"/>
          <w:sz w:val="24"/>
          <w:szCs w:val="24"/>
          <w:rtl/>
        </w:rPr>
      </w:pPr>
      <w:r>
        <w:rPr>
          <w:rFonts w:ascii="David" w:eastAsia="Times New Roman" w:hAnsi="David" w:cs="David" w:hint="cs"/>
          <w:b/>
          <w:bCs/>
          <w:sz w:val="36"/>
          <w:szCs w:val="36"/>
          <w:rtl/>
        </w:rPr>
        <w:t xml:space="preserve">                                 מדינת ישראל-                    </w:t>
      </w:r>
      <w:r w:rsidRPr="00CC404E">
        <w:rPr>
          <w:rFonts w:ascii="David" w:eastAsia="Times New Roman" w:hAnsi="David" w:cs="David" w:hint="cs"/>
          <w:b/>
          <w:bCs/>
          <w:sz w:val="36"/>
          <w:szCs w:val="36"/>
          <w:u w:val="single"/>
          <w:rtl/>
        </w:rPr>
        <w:t>המשיבה</w:t>
      </w:r>
    </w:p>
    <w:p w14:paraId="5457D393" w14:textId="485C8B9D" w:rsidR="001577DA" w:rsidRDefault="001577DA" w:rsidP="00CC404E">
      <w:pPr>
        <w:shd w:val="clear" w:color="auto" w:fill="FFFFFF"/>
        <w:spacing w:after="0" w:line="360" w:lineRule="auto"/>
        <w:jc w:val="center"/>
        <w:rPr>
          <w:rFonts w:ascii="David" w:eastAsia="Times New Roman" w:hAnsi="David" w:cs="David"/>
          <w:sz w:val="24"/>
          <w:szCs w:val="24"/>
          <w:rtl/>
        </w:rPr>
      </w:pPr>
    </w:p>
    <w:p w14:paraId="2164DE61" w14:textId="35B3E8A2" w:rsidR="001577DA" w:rsidRDefault="001577DA" w:rsidP="00CC404E">
      <w:pPr>
        <w:shd w:val="clear" w:color="auto" w:fill="FFFFFF"/>
        <w:spacing w:after="0" w:line="360" w:lineRule="auto"/>
        <w:jc w:val="center"/>
        <w:rPr>
          <w:rFonts w:ascii="David" w:eastAsia="Times New Roman" w:hAnsi="David" w:cs="David"/>
          <w:sz w:val="24"/>
          <w:szCs w:val="24"/>
          <w:rtl/>
        </w:rPr>
      </w:pPr>
    </w:p>
    <w:p w14:paraId="666FFA92" w14:textId="099EEAD9" w:rsidR="003E5495" w:rsidRDefault="001577DA" w:rsidP="001577DA">
      <w:pPr>
        <w:shd w:val="clear" w:color="auto" w:fill="FFFFFF"/>
        <w:spacing w:after="0" w:line="360" w:lineRule="auto"/>
        <w:jc w:val="center"/>
        <w:rPr>
          <w:rFonts w:ascii="David" w:eastAsia="Times New Roman" w:hAnsi="David" w:cs="David"/>
          <w:b/>
          <w:bCs/>
          <w:sz w:val="36"/>
          <w:szCs w:val="36"/>
          <w:u w:val="single"/>
          <w:rtl/>
        </w:rPr>
      </w:pPr>
      <w:r>
        <w:rPr>
          <w:rFonts w:ascii="David" w:eastAsia="Times New Roman" w:hAnsi="David" w:cs="David" w:hint="cs"/>
          <w:b/>
          <w:bCs/>
          <w:sz w:val="36"/>
          <w:szCs w:val="36"/>
          <w:u w:val="single"/>
          <w:rtl/>
        </w:rPr>
        <w:t>כתב נימוקי הערעור</w:t>
      </w:r>
    </w:p>
    <w:p w14:paraId="30A42FE5" w14:textId="77777777" w:rsidR="001577DA" w:rsidRPr="001577DA" w:rsidRDefault="001577DA" w:rsidP="001577DA">
      <w:pPr>
        <w:shd w:val="clear" w:color="auto" w:fill="FFFFFF"/>
        <w:spacing w:after="0" w:line="360" w:lineRule="auto"/>
        <w:jc w:val="center"/>
        <w:rPr>
          <w:rFonts w:ascii="David" w:eastAsia="Times New Roman" w:hAnsi="David" w:cs="David"/>
          <w:b/>
          <w:bCs/>
          <w:sz w:val="36"/>
          <w:szCs w:val="36"/>
          <w:u w:val="single"/>
          <w:rtl/>
        </w:rPr>
      </w:pPr>
    </w:p>
    <w:p w14:paraId="1FB08A56" w14:textId="448BAB2E" w:rsidR="00CC404E" w:rsidRDefault="001577DA" w:rsidP="0057341B">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מוגש בזאת ערעור על פסק דינו של בית המשפט המחוזי בתל אביב </w:t>
      </w:r>
      <w:r>
        <w:rPr>
          <w:rFonts w:ascii="David" w:eastAsia="Times New Roman" w:hAnsi="David" w:cs="David"/>
          <w:sz w:val="28"/>
          <w:szCs w:val="28"/>
          <w:rtl/>
        </w:rPr>
        <w:t>–</w:t>
      </w:r>
      <w:r>
        <w:rPr>
          <w:rFonts w:ascii="David" w:eastAsia="Times New Roman" w:hAnsi="David" w:cs="David" w:hint="cs"/>
          <w:sz w:val="28"/>
          <w:szCs w:val="28"/>
          <w:rtl/>
        </w:rPr>
        <w:t xml:space="preserve"> יפו בתיק 12935-02-17 לפיו הורשעו המערערים בעבירות </w:t>
      </w:r>
      <w:proofErr w:type="spellStart"/>
      <w:r>
        <w:rPr>
          <w:rFonts w:ascii="David" w:eastAsia="Times New Roman" w:hAnsi="David" w:cs="David" w:hint="cs"/>
          <w:sz w:val="28"/>
          <w:szCs w:val="28"/>
          <w:rtl/>
        </w:rPr>
        <w:t>כדקלמן</w:t>
      </w:r>
      <w:proofErr w:type="spellEnd"/>
      <w:r>
        <w:rPr>
          <w:rFonts w:ascii="David" w:eastAsia="Times New Roman" w:hAnsi="David" w:cs="David" w:hint="cs"/>
          <w:sz w:val="28"/>
          <w:szCs w:val="28"/>
          <w:rtl/>
        </w:rPr>
        <w:t>:_</w:t>
      </w:r>
    </w:p>
    <w:p w14:paraId="4C48BC7D" w14:textId="4B915991" w:rsidR="001577DA" w:rsidRDefault="001577DA" w:rsidP="0057341B">
      <w:pPr>
        <w:shd w:val="clear" w:color="auto" w:fill="FFFFFF"/>
        <w:spacing w:after="0" w:line="360" w:lineRule="auto"/>
        <w:jc w:val="both"/>
        <w:rPr>
          <w:rFonts w:ascii="David" w:eastAsia="Times New Roman" w:hAnsi="David" w:cs="David"/>
          <w:sz w:val="28"/>
          <w:szCs w:val="28"/>
          <w:rtl/>
        </w:rPr>
      </w:pPr>
    </w:p>
    <w:p w14:paraId="2225F3A2" w14:textId="752C29D9" w:rsidR="001577DA" w:rsidRDefault="001577DA" w:rsidP="0057341B">
      <w:pPr>
        <w:pStyle w:val="a5"/>
        <w:numPr>
          <w:ilvl w:val="0"/>
          <w:numId w:val="21"/>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באישום הראשון הורשע מערער 1 בעב</w:t>
      </w:r>
      <w:r w:rsidR="00FB39C5">
        <w:rPr>
          <w:rFonts w:ascii="David" w:eastAsia="Times New Roman" w:hAnsi="David" w:cs="David" w:hint="cs"/>
          <w:sz w:val="28"/>
          <w:szCs w:val="28"/>
          <w:rtl/>
        </w:rPr>
        <w:t>י</w:t>
      </w:r>
      <w:r>
        <w:rPr>
          <w:rFonts w:ascii="David" w:eastAsia="Times New Roman" w:hAnsi="David" w:cs="David" w:hint="cs"/>
          <w:sz w:val="28"/>
          <w:szCs w:val="28"/>
          <w:rtl/>
        </w:rPr>
        <w:t>רה של לקיחת שוחד, הלבנת הון ובעבירה של הפרת אמונים מערער 2 הורשע בעבירה של לקיחת שוחד והלבנת הון.</w:t>
      </w:r>
    </w:p>
    <w:p w14:paraId="25F1C360" w14:textId="77777777" w:rsidR="00BF1B38" w:rsidRDefault="00BF1B38" w:rsidP="00BF1B38">
      <w:pPr>
        <w:pStyle w:val="a5"/>
        <w:shd w:val="clear" w:color="auto" w:fill="FFFFFF"/>
        <w:spacing w:after="0" w:line="360" w:lineRule="auto"/>
        <w:ind w:left="755"/>
        <w:jc w:val="both"/>
        <w:rPr>
          <w:rFonts w:ascii="David" w:eastAsia="Times New Roman" w:hAnsi="David" w:cs="David"/>
          <w:sz w:val="28"/>
          <w:szCs w:val="28"/>
        </w:rPr>
      </w:pPr>
    </w:p>
    <w:p w14:paraId="7EBE8170" w14:textId="46E10B19" w:rsidR="001577DA" w:rsidRDefault="009B37FA" w:rsidP="0057341B">
      <w:pPr>
        <w:pStyle w:val="a5"/>
        <w:numPr>
          <w:ilvl w:val="0"/>
          <w:numId w:val="21"/>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באישום השני הורשע מערער 1 בעבירה של הפרת אמונים.</w:t>
      </w:r>
    </w:p>
    <w:p w14:paraId="42739406" w14:textId="77777777" w:rsidR="00BF1B38" w:rsidRPr="00BF1B38" w:rsidRDefault="00BF1B38" w:rsidP="00BF1B38">
      <w:pPr>
        <w:shd w:val="clear" w:color="auto" w:fill="FFFFFF"/>
        <w:spacing w:after="0" w:line="360" w:lineRule="auto"/>
        <w:jc w:val="both"/>
        <w:rPr>
          <w:rFonts w:ascii="David" w:eastAsia="Times New Roman" w:hAnsi="David" w:cs="David"/>
          <w:sz w:val="28"/>
          <w:szCs w:val="28"/>
        </w:rPr>
      </w:pPr>
    </w:p>
    <w:p w14:paraId="6159473E" w14:textId="1CFAADD3" w:rsidR="009B37FA" w:rsidRDefault="009B37FA" w:rsidP="0057341B">
      <w:pPr>
        <w:pStyle w:val="a5"/>
        <w:numPr>
          <w:ilvl w:val="0"/>
          <w:numId w:val="21"/>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באישום הרביעי הורשע מערער 1 בעביר</w:t>
      </w:r>
      <w:r w:rsidR="00BF1B38">
        <w:rPr>
          <w:rFonts w:ascii="David" w:eastAsia="Times New Roman" w:hAnsi="David" w:cs="David" w:hint="cs"/>
          <w:sz w:val="28"/>
          <w:szCs w:val="28"/>
          <w:rtl/>
        </w:rPr>
        <w:t>ה</w:t>
      </w:r>
      <w:r>
        <w:rPr>
          <w:rFonts w:ascii="David" w:eastAsia="Times New Roman" w:hAnsi="David" w:cs="David" w:hint="cs"/>
          <w:sz w:val="28"/>
          <w:szCs w:val="28"/>
          <w:rtl/>
        </w:rPr>
        <w:t xml:space="preserve"> ש</w:t>
      </w:r>
      <w:r w:rsidR="00BF1B38">
        <w:rPr>
          <w:rFonts w:ascii="David" w:eastAsia="Times New Roman" w:hAnsi="David" w:cs="David" w:hint="cs"/>
          <w:sz w:val="28"/>
          <w:szCs w:val="28"/>
          <w:rtl/>
        </w:rPr>
        <w:t>ל</w:t>
      </w:r>
      <w:r>
        <w:rPr>
          <w:rFonts w:ascii="David" w:eastAsia="Times New Roman" w:hAnsi="David" w:cs="David" w:hint="cs"/>
          <w:sz w:val="28"/>
          <w:szCs w:val="28"/>
          <w:rtl/>
        </w:rPr>
        <w:t xml:space="preserve"> הפרת אמונים.</w:t>
      </w:r>
    </w:p>
    <w:p w14:paraId="335F546B" w14:textId="77777777" w:rsidR="00BF1B38" w:rsidRPr="00BF1B38" w:rsidRDefault="00BF1B38" w:rsidP="00BF1B38">
      <w:pPr>
        <w:shd w:val="clear" w:color="auto" w:fill="FFFFFF"/>
        <w:spacing w:after="0" w:line="360" w:lineRule="auto"/>
        <w:jc w:val="both"/>
        <w:rPr>
          <w:rFonts w:ascii="David" w:eastAsia="Times New Roman" w:hAnsi="David" w:cs="David"/>
          <w:sz w:val="28"/>
          <w:szCs w:val="28"/>
        </w:rPr>
      </w:pPr>
    </w:p>
    <w:p w14:paraId="1D19E2E6" w14:textId="57EB401B" w:rsidR="009B37FA" w:rsidRDefault="009B37FA" w:rsidP="0057341B">
      <w:pPr>
        <w:pStyle w:val="a5"/>
        <w:numPr>
          <w:ilvl w:val="0"/>
          <w:numId w:val="21"/>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באישום החמישי הורשע 1 בעבירה של שימוש במרמה, עורמה ותחבולה לפי סעיף 220 (5) לפקודת מס הכנסה. </w:t>
      </w:r>
    </w:p>
    <w:p w14:paraId="77073E72" w14:textId="77777777" w:rsidR="00BF1B38" w:rsidRPr="00BF1B38" w:rsidRDefault="00BF1B38" w:rsidP="00BF1B38">
      <w:pPr>
        <w:shd w:val="clear" w:color="auto" w:fill="FFFFFF"/>
        <w:spacing w:after="0" w:line="360" w:lineRule="auto"/>
        <w:jc w:val="both"/>
        <w:rPr>
          <w:rFonts w:ascii="David" w:eastAsia="Times New Roman" w:hAnsi="David" w:cs="David"/>
          <w:sz w:val="28"/>
          <w:szCs w:val="28"/>
        </w:rPr>
      </w:pPr>
    </w:p>
    <w:p w14:paraId="2E1CFCC6" w14:textId="60C2F092" w:rsidR="009B37FA" w:rsidRDefault="009B37FA" w:rsidP="0057341B">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lastRenderedPageBreak/>
        <w:t>על המערער 1 נגזר עונש של ארבע שנות מאסר</w:t>
      </w:r>
      <w:r w:rsidR="00F94B1F">
        <w:rPr>
          <w:rFonts w:ascii="David" w:eastAsia="Times New Roman" w:hAnsi="David" w:cs="David" w:hint="cs"/>
          <w:sz w:val="28"/>
          <w:szCs w:val="28"/>
          <w:rtl/>
        </w:rPr>
        <w:t xml:space="preserve"> בפועל</w:t>
      </w:r>
      <w:r>
        <w:rPr>
          <w:rFonts w:ascii="David" w:eastAsia="Times New Roman" w:hAnsi="David" w:cs="David" w:hint="cs"/>
          <w:sz w:val="28"/>
          <w:szCs w:val="28"/>
          <w:rtl/>
        </w:rPr>
        <w:t xml:space="preserve">, מע"ת,  קנס בסך 400,000 ₪ ופסולה מלכהן כחבר במועצה מקומית. </w:t>
      </w:r>
    </w:p>
    <w:p w14:paraId="6F1C5F51" w14:textId="77777777" w:rsidR="00BF1B38" w:rsidRDefault="00BF1B38" w:rsidP="00BF1B38">
      <w:pPr>
        <w:pStyle w:val="a5"/>
        <w:shd w:val="clear" w:color="auto" w:fill="FFFFFF"/>
        <w:spacing w:after="0" w:line="360" w:lineRule="auto"/>
        <w:ind w:left="395"/>
        <w:jc w:val="both"/>
        <w:rPr>
          <w:rFonts w:ascii="David" w:eastAsia="Times New Roman" w:hAnsi="David" w:cs="David"/>
          <w:sz w:val="28"/>
          <w:szCs w:val="28"/>
        </w:rPr>
      </w:pPr>
    </w:p>
    <w:p w14:paraId="7EC148D4" w14:textId="491B9923" w:rsidR="009B37FA" w:rsidRDefault="009B37FA" w:rsidP="0057341B">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על המערער 2 נגזר עונש ש</w:t>
      </w:r>
      <w:r w:rsidR="00F94B1F">
        <w:rPr>
          <w:rFonts w:ascii="David" w:eastAsia="Times New Roman" w:hAnsi="David" w:cs="David" w:hint="cs"/>
          <w:sz w:val="28"/>
          <w:szCs w:val="28"/>
          <w:rtl/>
        </w:rPr>
        <w:t xml:space="preserve">ל </w:t>
      </w:r>
      <w:r>
        <w:rPr>
          <w:rFonts w:ascii="David" w:eastAsia="Times New Roman" w:hAnsi="David" w:cs="David" w:hint="cs"/>
          <w:sz w:val="28"/>
          <w:szCs w:val="28"/>
          <w:rtl/>
        </w:rPr>
        <w:t xml:space="preserve">14 חודשי מאסר בפועל, מע"ת וקנס בסך 75,000. </w:t>
      </w:r>
    </w:p>
    <w:p w14:paraId="7457FE85" w14:textId="2BC69B70" w:rsidR="009B37FA" w:rsidRDefault="009B37FA" w:rsidP="0057341B">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הערעור מופנה בראש וראשונה כנגד הרשעת המערערים בעבירות בהן הורשעו ולחילופין, </w:t>
      </w:r>
      <w:r w:rsidR="00F94B1F">
        <w:rPr>
          <w:rFonts w:ascii="David" w:eastAsia="Times New Roman" w:hAnsi="David" w:cs="David" w:hint="cs"/>
          <w:sz w:val="28"/>
          <w:szCs w:val="28"/>
          <w:rtl/>
        </w:rPr>
        <w:t xml:space="preserve">כנגד </w:t>
      </w:r>
      <w:r>
        <w:rPr>
          <w:rFonts w:ascii="David" w:eastAsia="Times New Roman" w:hAnsi="David" w:cs="David" w:hint="cs"/>
          <w:sz w:val="28"/>
          <w:szCs w:val="28"/>
          <w:rtl/>
        </w:rPr>
        <w:t xml:space="preserve">חומרת העונש. </w:t>
      </w:r>
    </w:p>
    <w:p w14:paraId="3F273D22" w14:textId="77777777" w:rsidR="00BF1B38" w:rsidRDefault="00BF1B38" w:rsidP="00BF1B38">
      <w:pPr>
        <w:pStyle w:val="a5"/>
        <w:shd w:val="clear" w:color="auto" w:fill="FFFFFF"/>
        <w:spacing w:after="0" w:line="360" w:lineRule="auto"/>
        <w:ind w:left="395"/>
        <w:jc w:val="both"/>
        <w:rPr>
          <w:rFonts w:ascii="David" w:eastAsia="Times New Roman" w:hAnsi="David" w:cs="David"/>
          <w:sz w:val="28"/>
          <w:szCs w:val="28"/>
        </w:rPr>
      </w:pPr>
    </w:p>
    <w:p w14:paraId="19CAC204" w14:textId="5F610B87" w:rsidR="009B37FA" w:rsidRDefault="004C046B" w:rsidP="0057341B">
      <w:pPr>
        <w:shd w:val="clear" w:color="auto" w:fill="FFFFFF"/>
        <w:spacing w:after="0" w:line="360" w:lineRule="auto"/>
        <w:ind w:left="-193"/>
        <w:jc w:val="both"/>
        <w:rPr>
          <w:rFonts w:ascii="David" w:eastAsia="Times New Roman" w:hAnsi="David" w:cs="David"/>
          <w:b/>
          <w:bCs/>
          <w:sz w:val="28"/>
          <w:szCs w:val="28"/>
          <w:u w:val="single"/>
          <w:rtl/>
        </w:rPr>
      </w:pPr>
      <w:r>
        <w:rPr>
          <w:rFonts w:ascii="David" w:eastAsia="Times New Roman" w:hAnsi="David" w:cs="David" w:hint="cs"/>
          <w:sz w:val="28"/>
          <w:szCs w:val="28"/>
          <w:rtl/>
        </w:rPr>
        <w:t xml:space="preserve">    </w:t>
      </w:r>
      <w:r w:rsidR="009B37FA">
        <w:rPr>
          <w:rFonts w:ascii="David" w:eastAsia="Times New Roman" w:hAnsi="David" w:cs="David" w:hint="cs"/>
          <w:b/>
          <w:bCs/>
          <w:sz w:val="28"/>
          <w:szCs w:val="28"/>
          <w:u w:val="single"/>
          <w:rtl/>
        </w:rPr>
        <w:t xml:space="preserve">הקדמה קצרה לנימוקי הערעור </w:t>
      </w:r>
    </w:p>
    <w:p w14:paraId="29043381" w14:textId="77777777" w:rsidR="00BF1B38" w:rsidRDefault="00BF1B38" w:rsidP="0057341B">
      <w:pPr>
        <w:shd w:val="clear" w:color="auto" w:fill="FFFFFF"/>
        <w:spacing w:after="0" w:line="360" w:lineRule="auto"/>
        <w:ind w:left="-193"/>
        <w:jc w:val="both"/>
        <w:rPr>
          <w:rFonts w:ascii="David" w:eastAsia="Times New Roman" w:hAnsi="David" w:cs="David"/>
          <w:b/>
          <w:bCs/>
          <w:sz w:val="28"/>
          <w:szCs w:val="28"/>
          <w:u w:val="single"/>
          <w:rtl/>
        </w:rPr>
      </w:pPr>
    </w:p>
    <w:p w14:paraId="56032ED2" w14:textId="1A22497B" w:rsidR="004C046B" w:rsidRDefault="004C046B" w:rsidP="0057341B">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הכרעת הדין, נשוא הערעור, הינה ארוכה מאוד ועמוסה בפרטים. </w:t>
      </w:r>
    </w:p>
    <w:p w14:paraId="3069A19E" w14:textId="186B610A" w:rsidR="004C046B" w:rsidRDefault="004C046B" w:rsidP="0057341B">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 xml:space="preserve">למערערים השגות רבות על האופן שבו ניתח בית המשפט קמא את הראיות שבאו בפניו. לראיות מסוימות נתן </w:t>
      </w:r>
      <w:r w:rsidR="00CC34A4">
        <w:rPr>
          <w:rFonts w:ascii="David" w:eastAsia="Times New Roman" w:hAnsi="David" w:cs="David" w:hint="cs"/>
          <w:sz w:val="28"/>
          <w:szCs w:val="28"/>
          <w:rtl/>
        </w:rPr>
        <w:t>ביהמ</w:t>
      </w:r>
      <w:r w:rsidR="00CC34A4">
        <w:rPr>
          <w:rFonts w:ascii="David" w:eastAsia="Times New Roman" w:hAnsi="David" w:cs="David"/>
          <w:sz w:val="28"/>
          <w:szCs w:val="28"/>
          <w:rtl/>
        </w:rPr>
        <w:t>"</w:t>
      </w:r>
      <w:r w:rsidR="00CC34A4">
        <w:rPr>
          <w:rFonts w:ascii="David" w:eastAsia="Times New Roman" w:hAnsi="David" w:cs="David" w:hint="cs"/>
          <w:sz w:val="28"/>
          <w:szCs w:val="28"/>
          <w:rtl/>
        </w:rPr>
        <w:t>ש</w:t>
      </w:r>
      <w:r>
        <w:rPr>
          <w:rFonts w:ascii="David" w:eastAsia="Times New Roman" w:hAnsi="David" w:cs="David" w:hint="cs"/>
          <w:sz w:val="28"/>
          <w:szCs w:val="28"/>
          <w:rtl/>
        </w:rPr>
        <w:t xml:space="preserve"> קמא משקל יתר לרעת המערערים, שלא בצדק, ומאידך התעלם </w:t>
      </w:r>
      <w:r w:rsidR="00CC34A4">
        <w:rPr>
          <w:rFonts w:ascii="David" w:eastAsia="Times New Roman" w:hAnsi="David" w:cs="David" w:hint="cs"/>
          <w:sz w:val="28"/>
          <w:szCs w:val="28"/>
          <w:rtl/>
        </w:rPr>
        <w:t>ביהמ</w:t>
      </w:r>
      <w:r w:rsidR="00CC34A4">
        <w:rPr>
          <w:rFonts w:ascii="David" w:eastAsia="Times New Roman" w:hAnsi="David" w:cs="David"/>
          <w:sz w:val="28"/>
          <w:szCs w:val="28"/>
          <w:rtl/>
        </w:rPr>
        <w:t>"</w:t>
      </w:r>
      <w:r w:rsidR="00CC34A4">
        <w:rPr>
          <w:rFonts w:ascii="David" w:eastAsia="Times New Roman" w:hAnsi="David" w:cs="David" w:hint="cs"/>
          <w:sz w:val="28"/>
          <w:szCs w:val="28"/>
          <w:rtl/>
        </w:rPr>
        <w:t>ש</w:t>
      </w:r>
      <w:r>
        <w:rPr>
          <w:rFonts w:ascii="David" w:eastAsia="Times New Roman" w:hAnsi="David" w:cs="David" w:hint="cs"/>
          <w:sz w:val="28"/>
          <w:szCs w:val="28"/>
          <w:rtl/>
        </w:rPr>
        <w:t xml:space="preserve"> קמא מראיות אחרות הפועלות לטובת המערערים. </w:t>
      </w:r>
    </w:p>
    <w:p w14:paraId="1B16C43E" w14:textId="77777777" w:rsidR="00BF1B38" w:rsidRDefault="00BF1B38" w:rsidP="0057341B">
      <w:pPr>
        <w:pStyle w:val="a5"/>
        <w:shd w:val="clear" w:color="auto" w:fill="FFFFFF"/>
        <w:spacing w:after="0" w:line="360" w:lineRule="auto"/>
        <w:ind w:left="395"/>
        <w:jc w:val="both"/>
        <w:rPr>
          <w:rFonts w:ascii="David" w:eastAsia="Times New Roman" w:hAnsi="David" w:cs="David"/>
          <w:sz w:val="28"/>
          <w:szCs w:val="28"/>
          <w:rtl/>
        </w:rPr>
      </w:pPr>
    </w:p>
    <w:p w14:paraId="0903B121" w14:textId="75289925" w:rsidR="00BF1B38" w:rsidRPr="008E17BF" w:rsidRDefault="004C046B" w:rsidP="008E17BF">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בכתב ערעור זה בחר הח"מ </w:t>
      </w:r>
      <w:r w:rsidR="00F94B1F">
        <w:rPr>
          <w:rFonts w:ascii="David" w:eastAsia="Times New Roman" w:hAnsi="David" w:cs="David" w:hint="cs"/>
          <w:sz w:val="28"/>
          <w:szCs w:val="28"/>
          <w:rtl/>
        </w:rPr>
        <w:t>לתפוס את השור בקרניו ו</w:t>
      </w:r>
      <w:r>
        <w:rPr>
          <w:rFonts w:ascii="David" w:eastAsia="Times New Roman" w:hAnsi="David" w:cs="David" w:hint="cs"/>
          <w:sz w:val="28"/>
          <w:szCs w:val="28"/>
          <w:rtl/>
        </w:rPr>
        <w:t xml:space="preserve">לא להתנצח עם כל שגגה שנפלה </w:t>
      </w:r>
      <w:r w:rsidR="00F80A8A">
        <w:rPr>
          <w:rFonts w:ascii="David" w:eastAsia="Times New Roman" w:hAnsi="David" w:cs="David" w:hint="cs"/>
          <w:sz w:val="28"/>
          <w:szCs w:val="28"/>
          <w:rtl/>
        </w:rPr>
        <w:t xml:space="preserve">מלפני </w:t>
      </w:r>
      <w:r w:rsidR="00CC34A4">
        <w:rPr>
          <w:rFonts w:ascii="David" w:eastAsia="Times New Roman" w:hAnsi="David" w:cs="David" w:hint="cs"/>
          <w:sz w:val="28"/>
          <w:szCs w:val="28"/>
          <w:rtl/>
        </w:rPr>
        <w:t>ביהמ</w:t>
      </w:r>
      <w:r w:rsidR="00CC34A4">
        <w:rPr>
          <w:rFonts w:ascii="David" w:eastAsia="Times New Roman" w:hAnsi="David" w:cs="David"/>
          <w:sz w:val="28"/>
          <w:szCs w:val="28"/>
          <w:rtl/>
        </w:rPr>
        <w:t>"</w:t>
      </w:r>
      <w:r w:rsidR="00CC34A4">
        <w:rPr>
          <w:rFonts w:ascii="David" w:eastAsia="Times New Roman" w:hAnsi="David" w:cs="David" w:hint="cs"/>
          <w:sz w:val="28"/>
          <w:szCs w:val="28"/>
          <w:rtl/>
        </w:rPr>
        <w:t>ש</w:t>
      </w:r>
      <w:r w:rsidR="00F80A8A">
        <w:rPr>
          <w:rFonts w:ascii="David" w:eastAsia="Times New Roman" w:hAnsi="David" w:cs="David" w:hint="cs"/>
          <w:sz w:val="28"/>
          <w:szCs w:val="28"/>
          <w:rtl/>
        </w:rPr>
        <w:t xml:space="preserve"> קמא כי אז יימלא כתב הערעור בפרטים ובפרטי פרטים באופן שיקשה על מיקוד הסוגיות החשובות והעקרוניות שעולות ומזדקרות בתיק שבפנינו. יחד עם זאת, וככל </w:t>
      </w:r>
      <w:proofErr w:type="spellStart"/>
      <w:r w:rsidR="00F80A8A">
        <w:rPr>
          <w:rFonts w:ascii="David" w:eastAsia="Times New Roman" w:hAnsi="David" w:cs="David" w:hint="cs"/>
          <w:sz w:val="28"/>
          <w:szCs w:val="28"/>
          <w:rtl/>
        </w:rPr>
        <w:t>ש</w:t>
      </w:r>
      <w:r w:rsidR="00F94B1F">
        <w:rPr>
          <w:rFonts w:ascii="David" w:eastAsia="Times New Roman" w:hAnsi="David" w:cs="David" w:hint="cs"/>
          <w:sz w:val="28"/>
          <w:szCs w:val="28"/>
          <w:rtl/>
        </w:rPr>
        <w:t>נ</w:t>
      </w:r>
      <w:r w:rsidR="00F80A8A">
        <w:rPr>
          <w:rFonts w:ascii="David" w:eastAsia="Times New Roman" w:hAnsi="David" w:cs="David" w:hint="cs"/>
          <w:sz w:val="28"/>
          <w:szCs w:val="28"/>
          <w:rtl/>
        </w:rPr>
        <w:t>ידרש</w:t>
      </w:r>
      <w:proofErr w:type="spellEnd"/>
      <w:r w:rsidR="00F80A8A">
        <w:rPr>
          <w:rFonts w:ascii="David" w:eastAsia="Times New Roman" w:hAnsi="David" w:cs="David" w:hint="cs"/>
          <w:sz w:val="28"/>
          <w:szCs w:val="28"/>
          <w:rtl/>
        </w:rPr>
        <w:t xml:space="preserve"> גם לפכים קטנים במהלך הדיון בעל פה בערעור, ישטח הח"מ לפני בית המשפט הנכבד תמונה רחבה, מפורטת וברורה בכל סוגיה ש</w:t>
      </w:r>
      <w:r w:rsidR="00CC34A4">
        <w:rPr>
          <w:rFonts w:ascii="David" w:eastAsia="Times New Roman" w:hAnsi="David" w:cs="David" w:hint="cs"/>
          <w:sz w:val="28"/>
          <w:szCs w:val="28"/>
          <w:rtl/>
        </w:rPr>
        <w:t>ביהמ</w:t>
      </w:r>
      <w:r w:rsidR="00CC34A4">
        <w:rPr>
          <w:rFonts w:ascii="David" w:eastAsia="Times New Roman" w:hAnsi="David" w:cs="David"/>
          <w:sz w:val="28"/>
          <w:szCs w:val="28"/>
          <w:rtl/>
        </w:rPr>
        <w:t>"</w:t>
      </w:r>
      <w:r w:rsidR="00CC34A4">
        <w:rPr>
          <w:rFonts w:ascii="David" w:eastAsia="Times New Roman" w:hAnsi="David" w:cs="David" w:hint="cs"/>
          <w:sz w:val="28"/>
          <w:szCs w:val="28"/>
          <w:rtl/>
        </w:rPr>
        <w:t>ש</w:t>
      </w:r>
      <w:r w:rsidR="00F80A8A">
        <w:rPr>
          <w:rFonts w:ascii="David" w:eastAsia="Times New Roman" w:hAnsi="David" w:cs="David" w:hint="cs"/>
          <w:sz w:val="28"/>
          <w:szCs w:val="28"/>
          <w:rtl/>
        </w:rPr>
        <w:t xml:space="preserve"> הנכבד יימצא לנכון להיכנס בה גם לעובי קורת</w:t>
      </w:r>
      <w:r w:rsidR="00F94B1F">
        <w:rPr>
          <w:rFonts w:ascii="David" w:eastAsia="Times New Roman" w:hAnsi="David" w:cs="David" w:hint="cs"/>
          <w:sz w:val="28"/>
          <w:szCs w:val="28"/>
          <w:rtl/>
        </w:rPr>
        <w:t xml:space="preserve"> פרטי</w:t>
      </w:r>
      <w:r w:rsidR="00F80A8A">
        <w:rPr>
          <w:rFonts w:ascii="David" w:eastAsia="Times New Roman" w:hAnsi="David" w:cs="David" w:hint="cs"/>
          <w:sz w:val="28"/>
          <w:szCs w:val="28"/>
          <w:rtl/>
        </w:rPr>
        <w:t xml:space="preserve"> פרטיה. </w:t>
      </w:r>
    </w:p>
    <w:p w14:paraId="6990484F" w14:textId="77777777" w:rsidR="00BF1B38" w:rsidRDefault="00580F9B" w:rsidP="0057341B">
      <w:pPr>
        <w:shd w:val="clear" w:color="auto" w:fill="FFFFFF"/>
        <w:spacing w:after="0" w:line="360" w:lineRule="auto"/>
        <w:ind w:left="35"/>
        <w:jc w:val="both"/>
        <w:rPr>
          <w:rFonts w:ascii="David" w:eastAsia="Times New Roman" w:hAnsi="David" w:cs="David"/>
          <w:sz w:val="28"/>
          <w:szCs w:val="28"/>
          <w:rtl/>
        </w:rPr>
      </w:pPr>
      <w:r>
        <w:rPr>
          <w:rFonts w:ascii="David" w:eastAsia="Times New Roman" w:hAnsi="David" w:cs="David" w:hint="cs"/>
          <w:b/>
          <w:bCs/>
          <w:sz w:val="28"/>
          <w:szCs w:val="28"/>
          <w:u w:val="single"/>
          <w:rtl/>
        </w:rPr>
        <w:t>נימוקי הערעור</w:t>
      </w:r>
      <w:r w:rsidR="00F80A8A" w:rsidRPr="00580F9B">
        <w:rPr>
          <w:rFonts w:ascii="David" w:eastAsia="Times New Roman" w:hAnsi="David" w:cs="David" w:hint="cs"/>
          <w:sz w:val="28"/>
          <w:szCs w:val="28"/>
          <w:rtl/>
        </w:rPr>
        <w:t xml:space="preserve">   </w:t>
      </w:r>
    </w:p>
    <w:p w14:paraId="04447730" w14:textId="6DAEE4E6" w:rsidR="00580F9B" w:rsidRDefault="00F80A8A" w:rsidP="00BF1B38">
      <w:pPr>
        <w:shd w:val="clear" w:color="auto" w:fill="FFFFFF"/>
        <w:spacing w:after="0" w:line="360" w:lineRule="auto"/>
        <w:jc w:val="both"/>
        <w:rPr>
          <w:rFonts w:ascii="David" w:eastAsia="Times New Roman" w:hAnsi="David" w:cs="David"/>
          <w:sz w:val="28"/>
          <w:szCs w:val="28"/>
          <w:rtl/>
        </w:rPr>
      </w:pPr>
      <w:r w:rsidRPr="00580F9B">
        <w:rPr>
          <w:rFonts w:ascii="David" w:eastAsia="Times New Roman" w:hAnsi="David" w:cs="David" w:hint="cs"/>
          <w:sz w:val="28"/>
          <w:szCs w:val="28"/>
          <w:rtl/>
        </w:rPr>
        <w:t xml:space="preserve">  </w:t>
      </w:r>
    </w:p>
    <w:p w14:paraId="3F281B18" w14:textId="7DCC1D08" w:rsidR="00BF1B38" w:rsidRDefault="00580F9B" w:rsidP="008E17BF">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באישום הראשון הואשמו שני המערערים בכך שלקחו שוחד מדוידי (נאשם 3 בכתב האישום) בסך 366,000</w:t>
      </w:r>
      <w:r w:rsidR="00500249">
        <w:rPr>
          <w:rFonts w:ascii="David" w:eastAsia="Times New Roman" w:hAnsi="David" w:cs="David" w:hint="cs"/>
          <w:sz w:val="28"/>
          <w:szCs w:val="28"/>
          <w:rtl/>
        </w:rPr>
        <w:t xml:space="preserve"> </w:t>
      </w:r>
      <w:r>
        <w:rPr>
          <w:rFonts w:ascii="David" w:eastAsia="Times New Roman" w:hAnsi="David" w:cs="David" w:hint="cs"/>
          <w:sz w:val="28"/>
          <w:szCs w:val="28"/>
          <w:rtl/>
        </w:rPr>
        <w:t>₪</w:t>
      </w:r>
      <w:r w:rsidR="00500249">
        <w:rPr>
          <w:rFonts w:ascii="David" w:eastAsia="Times New Roman" w:hAnsi="David" w:cs="David" w:hint="cs"/>
          <w:sz w:val="28"/>
          <w:szCs w:val="28"/>
          <w:rtl/>
        </w:rPr>
        <w:t>.</w:t>
      </w:r>
      <w:r>
        <w:rPr>
          <w:rFonts w:ascii="David" w:eastAsia="Times New Roman" w:hAnsi="David" w:cs="David" w:hint="cs"/>
          <w:sz w:val="28"/>
          <w:szCs w:val="28"/>
          <w:rtl/>
        </w:rPr>
        <w:t xml:space="preserve"> כמו כן הואשמו שני המערערים בעבירה של איסור הלבנת הון. נציין כי הסך של 366,000 ₪ הינו סיכום של דמי התיווך שגבה מערער 2 מדוידי בגין 14 עסקאות שונות. ההאשמות הללו התבססו על טענות עובדתיות שלפיהן קיבל מערער 2 מדוידי תשלום בסך 366,000 ₪ כשוחד באצטל</w:t>
      </w:r>
      <w:r w:rsidR="00500249">
        <w:rPr>
          <w:rFonts w:ascii="David" w:eastAsia="Times New Roman" w:hAnsi="David" w:cs="David" w:hint="cs"/>
          <w:sz w:val="28"/>
          <w:szCs w:val="28"/>
          <w:rtl/>
        </w:rPr>
        <w:t xml:space="preserve">א </w:t>
      </w:r>
      <w:r>
        <w:rPr>
          <w:rFonts w:ascii="David" w:eastAsia="Times New Roman" w:hAnsi="David" w:cs="David" w:hint="cs"/>
          <w:sz w:val="28"/>
          <w:szCs w:val="28"/>
          <w:rtl/>
        </w:rPr>
        <w:t>של דמי תיווך</w:t>
      </w:r>
      <w:r w:rsidR="00500249">
        <w:rPr>
          <w:rFonts w:ascii="David" w:eastAsia="Times New Roman" w:hAnsi="David" w:cs="David" w:hint="cs"/>
          <w:sz w:val="28"/>
          <w:szCs w:val="28"/>
          <w:rtl/>
        </w:rPr>
        <w:t>.</w:t>
      </w:r>
      <w:r>
        <w:rPr>
          <w:rFonts w:ascii="David" w:eastAsia="Times New Roman" w:hAnsi="David" w:cs="David" w:hint="cs"/>
          <w:sz w:val="28"/>
          <w:szCs w:val="28"/>
          <w:rtl/>
        </w:rPr>
        <w:t xml:space="preserve"> בעצם השימוש בעסק התיווך של מערער 2 </w:t>
      </w:r>
      <w:r w:rsidR="0057341B">
        <w:rPr>
          <w:rFonts w:ascii="David" w:eastAsia="Times New Roman" w:hAnsi="David" w:cs="David" w:hint="cs"/>
          <w:sz w:val="28"/>
          <w:szCs w:val="28"/>
          <w:rtl/>
        </w:rPr>
        <w:t xml:space="preserve">לצורך העברת כספי השוחד נעברה גם עבירה של איסור הלבנת הון. </w:t>
      </w:r>
    </w:p>
    <w:p w14:paraId="1A82C33B" w14:textId="77777777" w:rsidR="008E17BF" w:rsidRPr="008E17BF" w:rsidRDefault="008E17BF" w:rsidP="008E17BF">
      <w:pPr>
        <w:pStyle w:val="a5"/>
        <w:shd w:val="clear" w:color="auto" w:fill="FFFFFF"/>
        <w:spacing w:after="0" w:line="360" w:lineRule="auto"/>
        <w:ind w:left="395"/>
        <w:jc w:val="both"/>
        <w:rPr>
          <w:rFonts w:ascii="David" w:eastAsia="Times New Roman" w:hAnsi="David" w:cs="David"/>
          <w:sz w:val="28"/>
          <w:szCs w:val="28"/>
        </w:rPr>
      </w:pPr>
    </w:p>
    <w:p w14:paraId="51D82C91" w14:textId="3965905E" w:rsidR="0057341B" w:rsidRDefault="0057341B" w:rsidP="0057341B">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ייחוס שתי העבירות הללו גם למערער 1</w:t>
      </w:r>
      <w:r w:rsidR="00500249">
        <w:rPr>
          <w:rFonts w:ascii="David" w:eastAsia="Times New Roman" w:hAnsi="David" w:cs="David" w:hint="cs"/>
          <w:sz w:val="28"/>
          <w:szCs w:val="28"/>
          <w:rtl/>
        </w:rPr>
        <w:t xml:space="preserve"> למרות חוסר המעש מצידו,</w:t>
      </w:r>
      <w:r>
        <w:rPr>
          <w:rFonts w:ascii="David" w:eastAsia="Times New Roman" w:hAnsi="David" w:cs="David" w:hint="cs"/>
          <w:sz w:val="28"/>
          <w:szCs w:val="28"/>
          <w:rtl/>
        </w:rPr>
        <w:t xml:space="preserve"> נסמך על הטענה שביצוען היה בצוותא </w:t>
      </w:r>
      <w:proofErr w:type="spellStart"/>
      <w:r>
        <w:rPr>
          <w:rFonts w:ascii="David" w:eastAsia="Times New Roman" w:hAnsi="David" w:cs="David" w:hint="cs"/>
          <w:sz w:val="28"/>
          <w:szCs w:val="28"/>
          <w:rtl/>
        </w:rPr>
        <w:t>חדא</w:t>
      </w:r>
      <w:proofErr w:type="spellEnd"/>
      <w:r>
        <w:rPr>
          <w:rFonts w:ascii="David" w:eastAsia="Times New Roman" w:hAnsi="David" w:cs="David" w:hint="cs"/>
          <w:sz w:val="28"/>
          <w:szCs w:val="28"/>
          <w:rtl/>
        </w:rPr>
        <w:t xml:space="preserve"> ע"י שני המערע</w:t>
      </w:r>
      <w:r w:rsidR="00BF1B38">
        <w:rPr>
          <w:rFonts w:ascii="David" w:eastAsia="Times New Roman" w:hAnsi="David" w:cs="David" w:hint="cs"/>
          <w:sz w:val="28"/>
          <w:szCs w:val="28"/>
          <w:rtl/>
        </w:rPr>
        <w:t>ר</w:t>
      </w:r>
      <w:r>
        <w:rPr>
          <w:rFonts w:ascii="David" w:eastAsia="Times New Roman" w:hAnsi="David" w:cs="David" w:hint="cs"/>
          <w:sz w:val="28"/>
          <w:szCs w:val="28"/>
          <w:rtl/>
        </w:rPr>
        <w:t xml:space="preserve">ים. </w:t>
      </w:r>
    </w:p>
    <w:p w14:paraId="53B16147" w14:textId="77777777" w:rsidR="00BF1B38" w:rsidRPr="00BF1B38" w:rsidRDefault="00BF1B38" w:rsidP="00BF1B38">
      <w:pPr>
        <w:shd w:val="clear" w:color="auto" w:fill="FFFFFF"/>
        <w:spacing w:after="0" w:line="360" w:lineRule="auto"/>
        <w:jc w:val="both"/>
        <w:rPr>
          <w:rFonts w:ascii="David" w:eastAsia="Times New Roman" w:hAnsi="David" w:cs="David"/>
          <w:sz w:val="28"/>
          <w:szCs w:val="28"/>
        </w:rPr>
      </w:pPr>
    </w:p>
    <w:p w14:paraId="78978408" w14:textId="30C6054E" w:rsidR="0057341B" w:rsidRDefault="0057341B" w:rsidP="0057341B">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lastRenderedPageBreak/>
        <w:t>ביהמ</w:t>
      </w:r>
      <w:r w:rsidR="00FB39C5">
        <w:rPr>
          <w:rFonts w:ascii="David" w:eastAsia="Times New Roman" w:hAnsi="David" w:cs="David" w:hint="cs"/>
          <w:sz w:val="28"/>
          <w:szCs w:val="28"/>
          <w:rtl/>
        </w:rPr>
        <w:t>"ש</w:t>
      </w:r>
      <w:r>
        <w:rPr>
          <w:rFonts w:ascii="David" w:eastAsia="Times New Roman" w:hAnsi="David" w:cs="David" w:hint="cs"/>
          <w:sz w:val="28"/>
          <w:szCs w:val="28"/>
          <w:rtl/>
        </w:rPr>
        <w:t xml:space="preserve"> קמא הרשיע את שני המערערים בעבירה של לקיחת שוחד בסכום של 150,000 ₪  , המשקף את דמי התיווך שקיבל מערער 2 בגין עסקה גדולה אחת </w:t>
      </w:r>
      <w:r w:rsidR="00500249">
        <w:rPr>
          <w:rFonts w:ascii="David" w:eastAsia="Times New Roman" w:hAnsi="David" w:cs="David" w:hint="cs"/>
          <w:sz w:val="28"/>
          <w:szCs w:val="28"/>
          <w:rtl/>
        </w:rPr>
        <w:t xml:space="preserve">היא </w:t>
      </w:r>
      <w:r>
        <w:rPr>
          <w:rFonts w:ascii="David" w:eastAsia="Times New Roman" w:hAnsi="David" w:cs="David" w:hint="cs"/>
          <w:sz w:val="28"/>
          <w:szCs w:val="28"/>
          <w:rtl/>
        </w:rPr>
        <w:t>עסקת יעדים. ביה</w:t>
      </w:r>
      <w:r w:rsidR="00FB39C5">
        <w:rPr>
          <w:rFonts w:ascii="David" w:eastAsia="Times New Roman" w:hAnsi="David" w:cs="David" w:hint="cs"/>
          <w:sz w:val="28"/>
          <w:szCs w:val="28"/>
          <w:rtl/>
        </w:rPr>
        <w:t>מ"ש</w:t>
      </w:r>
      <w:r>
        <w:rPr>
          <w:rFonts w:ascii="David" w:eastAsia="Times New Roman" w:hAnsi="David" w:cs="David" w:hint="cs"/>
          <w:sz w:val="28"/>
          <w:szCs w:val="28"/>
          <w:rtl/>
        </w:rPr>
        <w:t xml:space="preserve"> קמא הרשיע את שני המערערים גם בעבירה של איסור הלבנת הון בשל השימוש בעסק התיווך של מערער 2 לצורך העברת כספי השוחד למערער 1. בנוסף הרשיע ביהמ</w:t>
      </w:r>
      <w:r w:rsidR="00FB39C5">
        <w:rPr>
          <w:rFonts w:ascii="David" w:eastAsia="Times New Roman" w:hAnsi="David" w:cs="David" w:hint="cs"/>
          <w:sz w:val="28"/>
          <w:szCs w:val="28"/>
          <w:rtl/>
        </w:rPr>
        <w:t>"ש</w:t>
      </w:r>
      <w:r>
        <w:rPr>
          <w:rFonts w:ascii="David" w:eastAsia="Times New Roman" w:hAnsi="David" w:cs="David" w:hint="cs"/>
          <w:sz w:val="28"/>
          <w:szCs w:val="28"/>
          <w:rtl/>
        </w:rPr>
        <w:t xml:space="preserve"> קמא את המערער 1 בעבירה של הפרת אמונים, שבה לא הואשם המערער 1 ב</w:t>
      </w:r>
      <w:r w:rsidR="00500249">
        <w:rPr>
          <w:rFonts w:ascii="David" w:eastAsia="Times New Roman" w:hAnsi="David" w:cs="David" w:hint="cs"/>
          <w:sz w:val="28"/>
          <w:szCs w:val="28"/>
          <w:rtl/>
        </w:rPr>
        <w:t>כתב ה</w:t>
      </w:r>
      <w:r>
        <w:rPr>
          <w:rFonts w:ascii="David" w:eastAsia="Times New Roman" w:hAnsi="David" w:cs="David" w:hint="cs"/>
          <w:sz w:val="28"/>
          <w:szCs w:val="28"/>
          <w:rtl/>
        </w:rPr>
        <w:t>אישו</w:t>
      </w:r>
      <w:r w:rsidR="00500249">
        <w:rPr>
          <w:rFonts w:ascii="David" w:eastAsia="Times New Roman" w:hAnsi="David" w:cs="David" w:hint="cs"/>
          <w:sz w:val="28"/>
          <w:szCs w:val="28"/>
          <w:rtl/>
        </w:rPr>
        <w:t xml:space="preserve">ם. </w:t>
      </w:r>
      <w:r>
        <w:rPr>
          <w:rFonts w:ascii="David" w:eastAsia="Times New Roman" w:hAnsi="David" w:cs="David" w:hint="cs"/>
          <w:sz w:val="28"/>
          <w:szCs w:val="28"/>
          <w:rtl/>
        </w:rPr>
        <w:t xml:space="preserve">הרשעה </w:t>
      </w:r>
      <w:r w:rsidR="00FB39C5">
        <w:rPr>
          <w:rFonts w:ascii="David" w:eastAsia="Times New Roman" w:hAnsi="David" w:cs="David" w:hint="cs"/>
          <w:sz w:val="28"/>
          <w:szCs w:val="28"/>
          <w:rtl/>
        </w:rPr>
        <w:t>ז</w:t>
      </w:r>
      <w:r>
        <w:rPr>
          <w:rFonts w:ascii="David" w:eastAsia="Times New Roman" w:hAnsi="David" w:cs="David" w:hint="cs"/>
          <w:sz w:val="28"/>
          <w:szCs w:val="28"/>
          <w:rtl/>
        </w:rPr>
        <w:t>ו התי</w:t>
      </w:r>
      <w:r w:rsidR="00FB39C5">
        <w:rPr>
          <w:rFonts w:ascii="David" w:eastAsia="Times New Roman" w:hAnsi="David" w:cs="David" w:hint="cs"/>
          <w:sz w:val="28"/>
          <w:szCs w:val="28"/>
          <w:rtl/>
        </w:rPr>
        <w:t>י</w:t>
      </w:r>
      <w:r>
        <w:rPr>
          <w:rFonts w:ascii="David" w:eastAsia="Times New Roman" w:hAnsi="David" w:cs="David" w:hint="cs"/>
          <w:sz w:val="28"/>
          <w:szCs w:val="28"/>
          <w:rtl/>
        </w:rPr>
        <w:t xml:space="preserve">חסה לסך של 216,000 ₪ שקיבל מערער 2 כדמי תיווך </w:t>
      </w:r>
      <w:r w:rsidR="00500249">
        <w:rPr>
          <w:rFonts w:ascii="David" w:eastAsia="Times New Roman" w:hAnsi="David" w:cs="David" w:hint="cs"/>
          <w:sz w:val="28"/>
          <w:szCs w:val="28"/>
          <w:rtl/>
        </w:rPr>
        <w:t xml:space="preserve">מדוידי </w:t>
      </w:r>
      <w:r>
        <w:rPr>
          <w:rFonts w:ascii="David" w:eastAsia="Times New Roman" w:hAnsi="David" w:cs="David" w:hint="cs"/>
          <w:sz w:val="28"/>
          <w:szCs w:val="28"/>
          <w:rtl/>
        </w:rPr>
        <w:t>וזאת למרות שדמי תיווך אלה לא היו נגועים בעבירה פלילית מצד מערער 2 ודוידי.</w:t>
      </w:r>
    </w:p>
    <w:p w14:paraId="0D9712FA" w14:textId="77777777" w:rsidR="00BF1B38" w:rsidRPr="00BF1B38" w:rsidRDefault="00BF1B38" w:rsidP="00BF1B38">
      <w:pPr>
        <w:pStyle w:val="a5"/>
        <w:rPr>
          <w:rFonts w:ascii="David" w:eastAsia="Times New Roman" w:hAnsi="David" w:cs="David"/>
          <w:sz w:val="28"/>
          <w:szCs w:val="28"/>
          <w:rtl/>
        </w:rPr>
      </w:pPr>
    </w:p>
    <w:p w14:paraId="48E17D77" w14:textId="77777777" w:rsidR="00BF1B38" w:rsidRDefault="00BF1B38" w:rsidP="00BF1B38">
      <w:pPr>
        <w:pStyle w:val="a5"/>
        <w:shd w:val="clear" w:color="auto" w:fill="FFFFFF"/>
        <w:spacing w:after="0" w:line="360" w:lineRule="auto"/>
        <w:ind w:left="395"/>
        <w:jc w:val="both"/>
        <w:rPr>
          <w:rFonts w:ascii="David" w:eastAsia="Times New Roman" w:hAnsi="David" w:cs="David"/>
          <w:sz w:val="28"/>
          <w:szCs w:val="28"/>
        </w:rPr>
      </w:pPr>
    </w:p>
    <w:p w14:paraId="7F2803FD" w14:textId="2BBC166E" w:rsidR="00EC0FA0" w:rsidRDefault="0057341B" w:rsidP="0057341B">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נקדים ונאמר</w:t>
      </w:r>
      <w:r w:rsidR="00500249">
        <w:rPr>
          <w:rFonts w:ascii="David" w:eastAsia="Times New Roman" w:hAnsi="David" w:cs="David" w:hint="cs"/>
          <w:sz w:val="28"/>
          <w:szCs w:val="28"/>
          <w:rtl/>
        </w:rPr>
        <w:t>:</w:t>
      </w:r>
      <w:r>
        <w:rPr>
          <w:rFonts w:ascii="David" w:eastAsia="Times New Roman" w:hAnsi="David" w:cs="David" w:hint="cs"/>
          <w:sz w:val="28"/>
          <w:szCs w:val="28"/>
          <w:rtl/>
        </w:rPr>
        <w:t xml:space="preserve"> המערערים סבורים שהר</w:t>
      </w:r>
      <w:r w:rsidR="00500249">
        <w:rPr>
          <w:rFonts w:ascii="David" w:eastAsia="Times New Roman" w:hAnsi="David" w:cs="David" w:hint="cs"/>
          <w:sz w:val="28"/>
          <w:szCs w:val="28"/>
          <w:rtl/>
        </w:rPr>
        <w:t>שע</w:t>
      </w:r>
      <w:r>
        <w:rPr>
          <w:rFonts w:ascii="David" w:eastAsia="Times New Roman" w:hAnsi="David" w:cs="David" w:hint="cs"/>
          <w:sz w:val="28"/>
          <w:szCs w:val="28"/>
          <w:rtl/>
        </w:rPr>
        <w:t>תם לא יכולה לעמוד במבחן הביקורת</w:t>
      </w:r>
      <w:r w:rsidR="00500249">
        <w:rPr>
          <w:rFonts w:ascii="David" w:eastAsia="Times New Roman" w:hAnsi="David" w:cs="David" w:hint="cs"/>
          <w:sz w:val="28"/>
          <w:szCs w:val="28"/>
          <w:rtl/>
        </w:rPr>
        <w:t xml:space="preserve">. זאת </w:t>
      </w:r>
      <w:r w:rsidR="00EC0FA0">
        <w:rPr>
          <w:rFonts w:ascii="David" w:eastAsia="Times New Roman" w:hAnsi="David" w:cs="David" w:hint="cs"/>
          <w:sz w:val="28"/>
          <w:szCs w:val="28"/>
          <w:rtl/>
        </w:rPr>
        <w:t xml:space="preserve">מכיוון שנפלו בה פגמים משמעותיים הן במישור המשפטי והן במסלול </w:t>
      </w:r>
      <w:r w:rsidR="00500249">
        <w:rPr>
          <w:rFonts w:ascii="David" w:eastAsia="Times New Roman" w:hAnsi="David" w:cs="David" w:hint="cs"/>
          <w:sz w:val="28"/>
          <w:szCs w:val="28"/>
          <w:rtl/>
        </w:rPr>
        <w:t xml:space="preserve">ובאופן </w:t>
      </w:r>
      <w:r w:rsidR="00EC0FA0">
        <w:rPr>
          <w:rFonts w:ascii="David" w:eastAsia="Times New Roman" w:hAnsi="David" w:cs="David" w:hint="cs"/>
          <w:sz w:val="28"/>
          <w:szCs w:val="28"/>
          <w:rtl/>
        </w:rPr>
        <w:t>הסקת המסקנות</w:t>
      </w:r>
      <w:r w:rsidR="00500249">
        <w:rPr>
          <w:rFonts w:ascii="David" w:eastAsia="Times New Roman" w:hAnsi="David" w:cs="David" w:hint="cs"/>
          <w:sz w:val="28"/>
          <w:szCs w:val="28"/>
          <w:rtl/>
        </w:rPr>
        <w:t xml:space="preserve"> שהסיק </w:t>
      </w:r>
      <w:proofErr w:type="spellStart"/>
      <w:r w:rsidR="00500249">
        <w:rPr>
          <w:rFonts w:ascii="David" w:eastAsia="Times New Roman" w:hAnsi="David" w:cs="David" w:hint="cs"/>
          <w:sz w:val="28"/>
          <w:szCs w:val="28"/>
          <w:rtl/>
        </w:rPr>
        <w:t>ביה"מ</w:t>
      </w:r>
      <w:proofErr w:type="spellEnd"/>
      <w:r w:rsidR="00500249">
        <w:rPr>
          <w:rFonts w:ascii="David" w:eastAsia="Times New Roman" w:hAnsi="David" w:cs="David" w:hint="cs"/>
          <w:sz w:val="28"/>
          <w:szCs w:val="28"/>
          <w:rtl/>
        </w:rPr>
        <w:t xml:space="preserve"> קמא</w:t>
      </w:r>
      <w:r w:rsidR="00EC0FA0">
        <w:rPr>
          <w:rFonts w:ascii="David" w:eastAsia="Times New Roman" w:hAnsi="David" w:cs="David" w:hint="cs"/>
          <w:sz w:val="28"/>
          <w:szCs w:val="28"/>
          <w:rtl/>
        </w:rPr>
        <w:t xml:space="preserve"> ממסכת הראיות הנסיבתיות שעמדו בפני</w:t>
      </w:r>
      <w:r w:rsidR="00500249">
        <w:rPr>
          <w:rFonts w:ascii="David" w:eastAsia="Times New Roman" w:hAnsi="David" w:cs="David" w:hint="cs"/>
          <w:sz w:val="28"/>
          <w:szCs w:val="28"/>
          <w:rtl/>
        </w:rPr>
        <w:t>ו.</w:t>
      </w:r>
      <w:r w:rsidR="00EC0FA0">
        <w:rPr>
          <w:rFonts w:ascii="David" w:eastAsia="Times New Roman" w:hAnsi="David" w:cs="David" w:hint="cs"/>
          <w:sz w:val="28"/>
          <w:szCs w:val="28"/>
          <w:rtl/>
        </w:rPr>
        <w:t xml:space="preserve"> </w:t>
      </w:r>
    </w:p>
    <w:p w14:paraId="193C7D5B" w14:textId="77777777" w:rsidR="00BF1B38" w:rsidRDefault="00BF1B38" w:rsidP="00BF1B38">
      <w:pPr>
        <w:pStyle w:val="a5"/>
        <w:shd w:val="clear" w:color="auto" w:fill="FFFFFF"/>
        <w:spacing w:after="0" w:line="360" w:lineRule="auto"/>
        <w:ind w:left="395"/>
        <w:jc w:val="both"/>
        <w:rPr>
          <w:rFonts w:ascii="David" w:eastAsia="Times New Roman" w:hAnsi="David" w:cs="David"/>
          <w:sz w:val="28"/>
          <w:szCs w:val="28"/>
        </w:rPr>
      </w:pPr>
    </w:p>
    <w:p w14:paraId="74C4E317" w14:textId="21AECAF1" w:rsidR="00CE4F45" w:rsidRDefault="00CE4F45" w:rsidP="0057341B">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טענתם הראשית של המערערים הינה כי עסקת י</w:t>
      </w:r>
      <w:r w:rsidR="00FB39C5">
        <w:rPr>
          <w:rFonts w:ascii="David" w:eastAsia="Times New Roman" w:hAnsi="David" w:cs="David" w:hint="cs"/>
          <w:sz w:val="28"/>
          <w:szCs w:val="28"/>
          <w:rtl/>
        </w:rPr>
        <w:t>ע</w:t>
      </w:r>
      <w:r>
        <w:rPr>
          <w:rFonts w:ascii="David" w:eastAsia="Times New Roman" w:hAnsi="David" w:cs="David" w:hint="cs"/>
          <w:sz w:val="28"/>
          <w:szCs w:val="28"/>
          <w:rtl/>
        </w:rPr>
        <w:t>דים הינה עסקת אמת וכי דמי התיווך בסך 150,000 ₪ שקיבל מערער 2 מדוידי שיקפו מקדמה על חשבון דמי התיווך להם היה זכאי מערער 2. כפי שנראה בהמשך א</w:t>
      </w:r>
      <w:r w:rsidR="00500249">
        <w:rPr>
          <w:rFonts w:ascii="David" w:eastAsia="Times New Roman" w:hAnsi="David" w:cs="David" w:hint="cs"/>
          <w:sz w:val="28"/>
          <w:szCs w:val="28"/>
          <w:rtl/>
        </w:rPr>
        <w:t>י</w:t>
      </w:r>
      <w:r>
        <w:rPr>
          <w:rFonts w:ascii="David" w:eastAsia="Times New Roman" w:hAnsi="David" w:cs="David" w:hint="cs"/>
          <w:sz w:val="28"/>
          <w:szCs w:val="28"/>
          <w:rtl/>
        </w:rPr>
        <w:t>נד</w:t>
      </w:r>
      <w:r w:rsidR="00500249">
        <w:rPr>
          <w:rFonts w:ascii="David" w:eastAsia="Times New Roman" w:hAnsi="David" w:cs="David" w:hint="cs"/>
          <w:sz w:val="28"/>
          <w:szCs w:val="28"/>
          <w:rtl/>
        </w:rPr>
        <w:t>י</w:t>
      </w:r>
      <w:r>
        <w:rPr>
          <w:rFonts w:ascii="David" w:eastAsia="Times New Roman" w:hAnsi="David" w:cs="David" w:hint="cs"/>
          <w:sz w:val="28"/>
          <w:szCs w:val="28"/>
          <w:rtl/>
        </w:rPr>
        <w:t>קציות</w:t>
      </w:r>
      <w:r w:rsidR="00500249">
        <w:rPr>
          <w:rFonts w:ascii="David" w:eastAsia="Times New Roman" w:hAnsi="David" w:cs="David" w:hint="cs"/>
          <w:sz w:val="28"/>
          <w:szCs w:val="28"/>
          <w:rtl/>
        </w:rPr>
        <w:t xml:space="preserve"> רבות</w:t>
      </w:r>
      <w:r>
        <w:rPr>
          <w:rFonts w:ascii="David" w:eastAsia="Times New Roman" w:hAnsi="David" w:cs="David" w:hint="cs"/>
          <w:sz w:val="28"/>
          <w:szCs w:val="28"/>
          <w:rtl/>
        </w:rPr>
        <w:t xml:space="preserve"> בעלות משקל</w:t>
      </w:r>
      <w:r w:rsidR="00500249">
        <w:rPr>
          <w:rFonts w:ascii="David" w:eastAsia="Times New Roman" w:hAnsi="David" w:cs="David" w:hint="cs"/>
          <w:sz w:val="28"/>
          <w:szCs w:val="28"/>
          <w:rtl/>
        </w:rPr>
        <w:t xml:space="preserve"> ממשי</w:t>
      </w:r>
      <w:r>
        <w:rPr>
          <w:rFonts w:ascii="David" w:eastAsia="Times New Roman" w:hAnsi="David" w:cs="David" w:hint="cs"/>
          <w:sz w:val="28"/>
          <w:szCs w:val="28"/>
          <w:rtl/>
        </w:rPr>
        <w:t xml:space="preserve"> תומכות במסקנה זו ומבססות אותה ברמת סבירות גבוהה בהרבה מזו הנדרשת מנאשם בפלילים</w:t>
      </w:r>
      <w:r w:rsidR="00500249">
        <w:rPr>
          <w:rFonts w:ascii="David" w:eastAsia="Times New Roman" w:hAnsi="David" w:cs="David" w:hint="cs"/>
          <w:sz w:val="28"/>
          <w:szCs w:val="28"/>
          <w:rtl/>
        </w:rPr>
        <w:t>.</w:t>
      </w:r>
      <w:r>
        <w:rPr>
          <w:rFonts w:ascii="David" w:eastAsia="Times New Roman" w:hAnsi="David" w:cs="David" w:hint="cs"/>
          <w:sz w:val="28"/>
          <w:szCs w:val="28"/>
          <w:rtl/>
        </w:rPr>
        <w:t xml:space="preserve"> קבלת טענתם הראשית של המערערים </w:t>
      </w:r>
      <w:r w:rsidR="00500249">
        <w:rPr>
          <w:rFonts w:ascii="David" w:eastAsia="Times New Roman" w:hAnsi="David" w:cs="David" w:hint="cs"/>
          <w:sz w:val="28"/>
          <w:szCs w:val="28"/>
          <w:rtl/>
        </w:rPr>
        <w:t>תוביל</w:t>
      </w:r>
      <w:r>
        <w:rPr>
          <w:rFonts w:ascii="David" w:eastAsia="Times New Roman" w:hAnsi="David" w:cs="David" w:hint="cs"/>
          <w:sz w:val="28"/>
          <w:szCs w:val="28"/>
          <w:rtl/>
        </w:rPr>
        <w:t xml:space="preserve"> בהכרח לזיכוי שניהם מעבירות של לקיחת השוחד ואיסור הלבנת ההון, ו</w:t>
      </w:r>
      <w:r w:rsidR="00500249">
        <w:rPr>
          <w:rFonts w:ascii="David" w:eastAsia="Times New Roman" w:hAnsi="David" w:cs="David" w:hint="cs"/>
          <w:sz w:val="28"/>
          <w:szCs w:val="28"/>
          <w:rtl/>
        </w:rPr>
        <w:t>תותיר</w:t>
      </w:r>
      <w:r>
        <w:rPr>
          <w:rFonts w:ascii="David" w:eastAsia="Times New Roman" w:hAnsi="David" w:cs="David" w:hint="cs"/>
          <w:sz w:val="28"/>
          <w:szCs w:val="28"/>
          <w:rtl/>
        </w:rPr>
        <w:t xml:space="preserve"> את הצורך של מערער 1 להתמודד עם הר</w:t>
      </w:r>
      <w:r w:rsidR="00500249">
        <w:rPr>
          <w:rFonts w:ascii="David" w:eastAsia="Times New Roman" w:hAnsi="David" w:cs="David" w:hint="cs"/>
          <w:sz w:val="28"/>
          <w:szCs w:val="28"/>
          <w:rtl/>
        </w:rPr>
        <w:t>שע</w:t>
      </w:r>
      <w:r>
        <w:rPr>
          <w:rFonts w:ascii="David" w:eastAsia="Times New Roman" w:hAnsi="David" w:cs="David" w:hint="cs"/>
          <w:sz w:val="28"/>
          <w:szCs w:val="28"/>
          <w:rtl/>
        </w:rPr>
        <w:t>תו בעבירה של הפרת אמונים.</w:t>
      </w:r>
    </w:p>
    <w:p w14:paraId="48BEF3E0" w14:textId="77777777" w:rsidR="00BF1B38" w:rsidRPr="00BF1B38" w:rsidRDefault="00BF1B38" w:rsidP="00BF1B38">
      <w:pPr>
        <w:pStyle w:val="a5"/>
        <w:rPr>
          <w:rFonts w:ascii="David" w:eastAsia="Times New Roman" w:hAnsi="David" w:cs="David"/>
          <w:sz w:val="28"/>
          <w:szCs w:val="28"/>
          <w:rtl/>
        </w:rPr>
      </w:pPr>
    </w:p>
    <w:p w14:paraId="177A453D" w14:textId="77777777" w:rsidR="00BF1B38" w:rsidRDefault="00BF1B38" w:rsidP="00BF1B38">
      <w:pPr>
        <w:pStyle w:val="a5"/>
        <w:shd w:val="clear" w:color="auto" w:fill="FFFFFF"/>
        <w:spacing w:after="0" w:line="360" w:lineRule="auto"/>
        <w:ind w:left="395"/>
        <w:jc w:val="both"/>
        <w:rPr>
          <w:rFonts w:ascii="David" w:eastAsia="Times New Roman" w:hAnsi="David" w:cs="David"/>
          <w:sz w:val="28"/>
          <w:szCs w:val="28"/>
        </w:rPr>
      </w:pPr>
    </w:p>
    <w:p w14:paraId="602C2683" w14:textId="0AAE2789" w:rsidR="00A92895" w:rsidRDefault="00CE4F45" w:rsidP="0057341B">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טענתם החלופית של המערערים הינה, שאפילו אם ייקבע שהתשלום בסך 150,000 ₪ ששילם דוידי למערער 2 משקף העברה כספית אישית מדוידי למערער 2 </w:t>
      </w:r>
      <w:proofErr w:type="spellStart"/>
      <w:r>
        <w:rPr>
          <w:rFonts w:ascii="David" w:eastAsia="Times New Roman" w:hAnsi="David" w:cs="David" w:hint="cs"/>
          <w:sz w:val="28"/>
          <w:szCs w:val="28"/>
          <w:rtl/>
        </w:rPr>
        <w:t>באיצטלא</w:t>
      </w:r>
      <w:proofErr w:type="spellEnd"/>
      <w:r>
        <w:rPr>
          <w:rFonts w:ascii="David" w:eastAsia="Times New Roman" w:hAnsi="David" w:cs="David" w:hint="cs"/>
          <w:sz w:val="28"/>
          <w:szCs w:val="28"/>
          <w:rtl/>
        </w:rPr>
        <w:t xml:space="preserve"> של העברה עסקית</w:t>
      </w:r>
      <w:r w:rsidR="00A92895">
        <w:rPr>
          <w:rFonts w:ascii="David" w:eastAsia="Times New Roman" w:hAnsi="David" w:cs="David" w:hint="cs"/>
          <w:sz w:val="28"/>
          <w:szCs w:val="28"/>
          <w:rtl/>
        </w:rPr>
        <w:t xml:space="preserve"> כדמי תיווך </w:t>
      </w:r>
      <w:r w:rsidR="00A92895">
        <w:rPr>
          <w:rFonts w:ascii="David" w:eastAsia="Times New Roman" w:hAnsi="David" w:cs="David"/>
          <w:sz w:val="28"/>
          <w:szCs w:val="28"/>
          <w:rtl/>
        </w:rPr>
        <w:t>–</w:t>
      </w:r>
      <w:r w:rsidR="00A92895">
        <w:rPr>
          <w:rFonts w:ascii="David" w:eastAsia="Times New Roman" w:hAnsi="David" w:cs="David" w:hint="cs"/>
          <w:sz w:val="28"/>
          <w:szCs w:val="28"/>
          <w:rtl/>
        </w:rPr>
        <w:t xml:space="preserve"> עדיין המרחק עד לקביעה שמדובר בהעברה כספית כשוחד למערער 1 </w:t>
      </w:r>
      <w:r w:rsidR="00A92895">
        <w:rPr>
          <w:rFonts w:ascii="David" w:eastAsia="Times New Roman" w:hAnsi="David" w:cs="David"/>
          <w:sz w:val="28"/>
          <w:szCs w:val="28"/>
          <w:rtl/>
        </w:rPr>
        <w:t>–</w:t>
      </w:r>
      <w:r w:rsidR="00A92895">
        <w:rPr>
          <w:rFonts w:ascii="David" w:eastAsia="Times New Roman" w:hAnsi="David" w:cs="David" w:hint="cs"/>
          <w:sz w:val="28"/>
          <w:szCs w:val="28"/>
          <w:rtl/>
        </w:rPr>
        <w:t xml:space="preserve"> הינו עצום ורב. בדרך, ניתן וצריך היה לעצור ולהסתפק </w:t>
      </w:r>
      <w:r w:rsidR="00A92895">
        <w:rPr>
          <w:rFonts w:ascii="David" w:eastAsia="Times New Roman" w:hAnsi="David" w:cs="David" w:hint="cs"/>
          <w:b/>
          <w:bCs/>
          <w:sz w:val="28"/>
          <w:szCs w:val="28"/>
          <w:rtl/>
        </w:rPr>
        <w:t>, לכל הי</w:t>
      </w:r>
      <w:r w:rsidR="00FB39C5">
        <w:rPr>
          <w:rFonts w:ascii="David" w:eastAsia="Times New Roman" w:hAnsi="David" w:cs="David" w:hint="cs"/>
          <w:b/>
          <w:bCs/>
          <w:sz w:val="28"/>
          <w:szCs w:val="28"/>
          <w:rtl/>
        </w:rPr>
        <w:t>ו</w:t>
      </w:r>
      <w:r w:rsidR="00A92895">
        <w:rPr>
          <w:rFonts w:ascii="David" w:eastAsia="Times New Roman" w:hAnsi="David" w:cs="David" w:hint="cs"/>
          <w:b/>
          <w:bCs/>
          <w:sz w:val="28"/>
          <w:szCs w:val="28"/>
          <w:rtl/>
        </w:rPr>
        <w:t xml:space="preserve">תר, </w:t>
      </w:r>
      <w:r w:rsidR="00A92895">
        <w:rPr>
          <w:rFonts w:ascii="David" w:eastAsia="Times New Roman" w:hAnsi="David" w:cs="David" w:hint="cs"/>
          <w:sz w:val="28"/>
          <w:szCs w:val="28"/>
          <w:rtl/>
        </w:rPr>
        <w:t>בקביעה שמדובר בהעברה אישית הנעוצה ביחסי החברות בין השניים, שקיבלה כסות להעברה כספית כ</w:t>
      </w:r>
      <w:r w:rsidR="00FB39C5">
        <w:rPr>
          <w:rFonts w:ascii="David" w:eastAsia="Times New Roman" w:hAnsi="David" w:cs="David" w:hint="cs"/>
          <w:sz w:val="28"/>
          <w:szCs w:val="28"/>
          <w:rtl/>
        </w:rPr>
        <w:t>ד</w:t>
      </w:r>
      <w:r w:rsidR="00A92895">
        <w:rPr>
          <w:rFonts w:ascii="David" w:eastAsia="Times New Roman" w:hAnsi="David" w:cs="David" w:hint="cs"/>
          <w:sz w:val="28"/>
          <w:szCs w:val="28"/>
          <w:rtl/>
        </w:rPr>
        <w:t>י להנות מיתרונות המס שיש בהצגה הזו לדוידי שיכול היה לזקוף את ההעברה האישית הזו כהוצאה עסקית</w:t>
      </w:r>
      <w:r w:rsidR="00500249">
        <w:rPr>
          <w:rFonts w:ascii="David" w:eastAsia="Times New Roman" w:hAnsi="David" w:cs="David" w:hint="cs"/>
          <w:sz w:val="28"/>
          <w:szCs w:val="28"/>
          <w:rtl/>
        </w:rPr>
        <w:t xml:space="preserve">. </w:t>
      </w:r>
      <w:r w:rsidR="00A92895">
        <w:rPr>
          <w:rFonts w:ascii="David" w:eastAsia="Times New Roman" w:hAnsi="David" w:cs="David" w:hint="cs"/>
          <w:sz w:val="28"/>
          <w:szCs w:val="28"/>
          <w:rtl/>
        </w:rPr>
        <w:t>קבלת טענתם החלופית הזו של המערערים תוביל לזיכוי</w:t>
      </w:r>
      <w:r w:rsidR="00FB39C5">
        <w:rPr>
          <w:rFonts w:ascii="David" w:eastAsia="Times New Roman" w:hAnsi="David" w:cs="David" w:hint="cs"/>
          <w:sz w:val="28"/>
          <w:szCs w:val="28"/>
          <w:rtl/>
        </w:rPr>
        <w:t xml:space="preserve"> </w:t>
      </w:r>
      <w:r w:rsidR="00A92895">
        <w:rPr>
          <w:rFonts w:ascii="David" w:eastAsia="Times New Roman" w:hAnsi="David" w:cs="David" w:hint="cs"/>
          <w:sz w:val="28"/>
          <w:szCs w:val="28"/>
          <w:rtl/>
        </w:rPr>
        <w:t xml:space="preserve">מערער 1 מעבירות של לקיחת שוחד ואיסור הלבנת הון וכן לזיכויו של מערער 2 מעבירה של לקיחת שוחד ותחתיה לסיכון בהרשעה של סיוע לדוידי בביצוע עבירת מס. </w:t>
      </w:r>
    </w:p>
    <w:p w14:paraId="2312E23F" w14:textId="77777777" w:rsidR="00BF1B38" w:rsidRDefault="00BF1B38" w:rsidP="00BF1B38">
      <w:pPr>
        <w:pStyle w:val="a5"/>
        <w:shd w:val="clear" w:color="auto" w:fill="FFFFFF"/>
        <w:spacing w:after="0" w:line="360" w:lineRule="auto"/>
        <w:ind w:left="395"/>
        <w:jc w:val="both"/>
        <w:rPr>
          <w:rFonts w:ascii="David" w:eastAsia="Times New Roman" w:hAnsi="David" w:cs="David"/>
          <w:sz w:val="28"/>
          <w:szCs w:val="28"/>
        </w:rPr>
      </w:pPr>
    </w:p>
    <w:p w14:paraId="15D1E0FD" w14:textId="2956F5E2" w:rsidR="00377D80" w:rsidRDefault="00A92895" w:rsidP="0057341B">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lastRenderedPageBreak/>
        <w:t>לחילופי חילופין ייטען המערער 1 שאפילו אם ייקבע שהתשלום בסך 150,000 ₪ ששילם דוידי למערער 2 מ</w:t>
      </w:r>
      <w:r w:rsidR="00500249">
        <w:rPr>
          <w:rFonts w:ascii="David" w:eastAsia="Times New Roman" w:hAnsi="David" w:cs="David" w:hint="cs"/>
          <w:sz w:val="28"/>
          <w:szCs w:val="28"/>
          <w:rtl/>
        </w:rPr>
        <w:t>ש</w:t>
      </w:r>
      <w:r>
        <w:rPr>
          <w:rFonts w:ascii="David" w:eastAsia="Times New Roman" w:hAnsi="David" w:cs="David" w:hint="cs"/>
          <w:sz w:val="28"/>
          <w:szCs w:val="28"/>
          <w:rtl/>
        </w:rPr>
        <w:t>קף נתינת שוחד מצידו של דוידי</w:t>
      </w:r>
      <w:r w:rsidR="00500249">
        <w:rPr>
          <w:rFonts w:ascii="David" w:eastAsia="Times New Roman" w:hAnsi="David" w:cs="David" w:hint="cs"/>
          <w:sz w:val="28"/>
          <w:szCs w:val="28"/>
          <w:rtl/>
        </w:rPr>
        <w:t>,</w:t>
      </w:r>
      <w:r>
        <w:rPr>
          <w:rFonts w:ascii="David" w:eastAsia="Times New Roman" w:hAnsi="David" w:cs="David" w:hint="cs"/>
          <w:sz w:val="28"/>
          <w:szCs w:val="28"/>
          <w:rtl/>
        </w:rPr>
        <w:t xml:space="preserve"> הרי שלא היה מקום לקבוע שמערער 1 שותף לקבלת השוחד שניתן למערער 2 מכיוון שאינו בגדר מבצע בצוותא עם מערער 2. כפי שנראה בהמשך</w:t>
      </w:r>
      <w:r w:rsidR="00500249">
        <w:rPr>
          <w:rFonts w:ascii="David" w:eastAsia="Times New Roman" w:hAnsi="David" w:cs="David" w:hint="cs"/>
          <w:sz w:val="28"/>
          <w:szCs w:val="28"/>
          <w:rtl/>
        </w:rPr>
        <w:t>,</w:t>
      </w:r>
      <w:r>
        <w:rPr>
          <w:rFonts w:ascii="David" w:eastAsia="Times New Roman" w:hAnsi="David" w:cs="David" w:hint="cs"/>
          <w:sz w:val="28"/>
          <w:szCs w:val="28"/>
          <w:rtl/>
        </w:rPr>
        <w:t xml:space="preserve"> מערער 1 לא ידע כלל על עסקת י</w:t>
      </w:r>
      <w:r w:rsidR="00FB39C5">
        <w:rPr>
          <w:rFonts w:ascii="David" w:eastAsia="Times New Roman" w:hAnsi="David" w:cs="David" w:hint="cs"/>
          <w:sz w:val="28"/>
          <w:szCs w:val="28"/>
          <w:rtl/>
        </w:rPr>
        <w:t>ע</w:t>
      </w:r>
      <w:r>
        <w:rPr>
          <w:rFonts w:ascii="David" w:eastAsia="Times New Roman" w:hAnsi="David" w:cs="David" w:hint="cs"/>
          <w:sz w:val="28"/>
          <w:szCs w:val="28"/>
          <w:rtl/>
        </w:rPr>
        <w:t>דים ולא ידע כלל שמערער 2 קיבל מדוידי סך של 150,000 באצטלא של דמי תיווך בגין עסקת י</w:t>
      </w:r>
      <w:r w:rsidR="00FB39C5">
        <w:rPr>
          <w:rFonts w:ascii="David" w:eastAsia="Times New Roman" w:hAnsi="David" w:cs="David" w:hint="cs"/>
          <w:sz w:val="28"/>
          <w:szCs w:val="28"/>
          <w:rtl/>
        </w:rPr>
        <w:t>ע</w:t>
      </w:r>
      <w:r>
        <w:rPr>
          <w:rFonts w:ascii="David" w:eastAsia="Times New Roman" w:hAnsi="David" w:cs="David" w:hint="cs"/>
          <w:sz w:val="28"/>
          <w:szCs w:val="28"/>
          <w:rtl/>
        </w:rPr>
        <w:t xml:space="preserve">דים. </w:t>
      </w:r>
    </w:p>
    <w:p w14:paraId="0823B114" w14:textId="77777777" w:rsidR="00677520" w:rsidRPr="00677520" w:rsidRDefault="00677520" w:rsidP="00677520">
      <w:pPr>
        <w:shd w:val="clear" w:color="auto" w:fill="FFFFFF"/>
        <w:spacing w:after="0" w:line="360" w:lineRule="auto"/>
        <w:jc w:val="both"/>
        <w:rPr>
          <w:rFonts w:ascii="David" w:eastAsia="Times New Roman" w:hAnsi="David" w:cs="David"/>
          <w:sz w:val="28"/>
          <w:szCs w:val="28"/>
        </w:rPr>
      </w:pPr>
    </w:p>
    <w:p w14:paraId="0C7B4D8A" w14:textId="77777777" w:rsidR="00500249" w:rsidRDefault="00377D80" w:rsidP="0057341B">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למצער, כחלופה אחרונה, ייטען המערער</w:t>
      </w:r>
      <w:r w:rsidR="00500249">
        <w:rPr>
          <w:rFonts w:ascii="David" w:eastAsia="Times New Roman" w:hAnsi="David" w:cs="David" w:hint="cs"/>
          <w:sz w:val="28"/>
          <w:szCs w:val="28"/>
          <w:rtl/>
        </w:rPr>
        <w:t xml:space="preserve"> </w:t>
      </w:r>
      <w:r>
        <w:rPr>
          <w:rFonts w:ascii="David" w:eastAsia="Times New Roman" w:hAnsi="David" w:cs="David" w:hint="cs"/>
          <w:sz w:val="28"/>
          <w:szCs w:val="28"/>
          <w:rtl/>
        </w:rPr>
        <w:t xml:space="preserve">1, כי לא הובאה שמץ ראיה לכך שהוא ידע שההעברה הכספית של 150,000 ₪ שהעביר דוידי למערער 2 קיבלה כסות חשבונאית </w:t>
      </w:r>
      <w:r w:rsidR="00500249">
        <w:rPr>
          <w:rFonts w:ascii="David" w:eastAsia="Times New Roman" w:hAnsi="David" w:cs="David" w:hint="cs"/>
          <w:sz w:val="28"/>
          <w:szCs w:val="28"/>
          <w:rtl/>
        </w:rPr>
        <w:t xml:space="preserve">פיקטיבית </w:t>
      </w:r>
      <w:r>
        <w:rPr>
          <w:rFonts w:ascii="David" w:eastAsia="Times New Roman" w:hAnsi="David" w:cs="David" w:hint="cs"/>
          <w:sz w:val="28"/>
          <w:szCs w:val="28"/>
          <w:rtl/>
        </w:rPr>
        <w:t>בספרי  החשבונות של דוידי ו</w:t>
      </w:r>
      <w:r w:rsidR="00500249">
        <w:rPr>
          <w:rFonts w:ascii="David" w:eastAsia="Times New Roman" w:hAnsi="David" w:cs="David" w:hint="cs"/>
          <w:sz w:val="28"/>
          <w:szCs w:val="28"/>
          <w:rtl/>
        </w:rPr>
        <w:t>של ה</w:t>
      </w:r>
      <w:r>
        <w:rPr>
          <w:rFonts w:ascii="David" w:eastAsia="Times New Roman" w:hAnsi="David" w:cs="David" w:hint="cs"/>
          <w:sz w:val="28"/>
          <w:szCs w:val="28"/>
          <w:rtl/>
        </w:rPr>
        <w:t>מערער 2 באופן שמקים עבירה של איסור הלבנת הון מצידו של המערער</w:t>
      </w:r>
      <w:r w:rsidR="00500249">
        <w:rPr>
          <w:rFonts w:ascii="David" w:eastAsia="Times New Roman" w:hAnsi="David" w:cs="David" w:hint="cs"/>
          <w:sz w:val="28"/>
          <w:szCs w:val="28"/>
          <w:rtl/>
        </w:rPr>
        <w:t xml:space="preserve"> 2</w:t>
      </w:r>
      <w:r>
        <w:rPr>
          <w:rFonts w:ascii="David" w:eastAsia="Times New Roman" w:hAnsi="David" w:cs="David" w:hint="cs"/>
          <w:sz w:val="28"/>
          <w:szCs w:val="28"/>
          <w:rtl/>
        </w:rPr>
        <w:t>. לפיכך ולמצע</w:t>
      </w:r>
      <w:r w:rsidR="00FB39C5">
        <w:rPr>
          <w:rFonts w:ascii="David" w:eastAsia="Times New Roman" w:hAnsi="David" w:cs="David" w:hint="cs"/>
          <w:sz w:val="28"/>
          <w:szCs w:val="28"/>
          <w:rtl/>
        </w:rPr>
        <w:t>ר</w:t>
      </w:r>
      <w:r>
        <w:rPr>
          <w:rFonts w:ascii="David" w:eastAsia="Times New Roman" w:hAnsi="David" w:cs="David" w:hint="cs"/>
          <w:sz w:val="28"/>
          <w:szCs w:val="28"/>
          <w:rtl/>
        </w:rPr>
        <w:t xml:space="preserve">, לא היה מקום להרשיעו בעבירה של איסור הלבנת הון. </w:t>
      </w:r>
    </w:p>
    <w:p w14:paraId="008E029A" w14:textId="66F97E9D" w:rsidR="00377D80" w:rsidRDefault="00377D80" w:rsidP="00500249">
      <w:pPr>
        <w:pStyle w:val="a5"/>
        <w:shd w:val="clear" w:color="auto" w:fill="FFFFFF"/>
        <w:spacing w:after="0" w:line="360" w:lineRule="auto"/>
        <w:ind w:left="395"/>
        <w:jc w:val="both"/>
        <w:rPr>
          <w:rFonts w:ascii="David" w:eastAsia="Times New Roman" w:hAnsi="David" w:cs="David"/>
          <w:sz w:val="28"/>
          <w:szCs w:val="28"/>
        </w:rPr>
      </w:pPr>
      <w:r>
        <w:rPr>
          <w:rFonts w:ascii="David" w:eastAsia="Times New Roman" w:hAnsi="David" w:cs="David" w:hint="cs"/>
          <w:sz w:val="28"/>
          <w:szCs w:val="28"/>
          <w:rtl/>
        </w:rPr>
        <w:t>ניגש עתה לבסס את טענתם הראשית של המערערים וכן את טענותיהם החלופית.</w:t>
      </w:r>
    </w:p>
    <w:p w14:paraId="54818394" w14:textId="77777777" w:rsidR="00BF1B38" w:rsidRDefault="00BF1B38" w:rsidP="00BF1B38">
      <w:pPr>
        <w:pStyle w:val="a5"/>
        <w:shd w:val="clear" w:color="auto" w:fill="FFFFFF"/>
        <w:spacing w:after="0" w:line="360" w:lineRule="auto"/>
        <w:ind w:left="395"/>
        <w:jc w:val="both"/>
        <w:rPr>
          <w:rFonts w:ascii="David" w:eastAsia="Times New Roman" w:hAnsi="David" w:cs="David"/>
          <w:sz w:val="28"/>
          <w:szCs w:val="28"/>
        </w:rPr>
      </w:pPr>
    </w:p>
    <w:p w14:paraId="5776CA69" w14:textId="40D2EA5F" w:rsidR="00CA14D9" w:rsidRDefault="00CA14D9" w:rsidP="0057341B">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ואלה הא</w:t>
      </w:r>
      <w:r w:rsidR="00500249">
        <w:rPr>
          <w:rFonts w:ascii="David" w:eastAsia="Times New Roman" w:hAnsi="David" w:cs="David" w:hint="cs"/>
          <w:sz w:val="28"/>
          <w:szCs w:val="28"/>
          <w:rtl/>
        </w:rPr>
        <w:t>י</w:t>
      </w:r>
      <w:r>
        <w:rPr>
          <w:rFonts w:ascii="David" w:eastAsia="Times New Roman" w:hAnsi="David" w:cs="David" w:hint="cs"/>
          <w:sz w:val="28"/>
          <w:szCs w:val="28"/>
          <w:rtl/>
        </w:rPr>
        <w:t>נד</w:t>
      </w:r>
      <w:r w:rsidR="00500249">
        <w:rPr>
          <w:rFonts w:ascii="David" w:eastAsia="Times New Roman" w:hAnsi="David" w:cs="David" w:hint="cs"/>
          <w:sz w:val="28"/>
          <w:szCs w:val="28"/>
          <w:rtl/>
        </w:rPr>
        <w:t>י</w:t>
      </w:r>
      <w:r>
        <w:rPr>
          <w:rFonts w:ascii="David" w:eastAsia="Times New Roman" w:hAnsi="David" w:cs="David" w:hint="cs"/>
          <w:sz w:val="28"/>
          <w:szCs w:val="28"/>
          <w:rtl/>
        </w:rPr>
        <w:t>קציות לטענתם הראשית של המערערים ולפיה עסקת י</w:t>
      </w:r>
      <w:r w:rsidR="00FB39C5">
        <w:rPr>
          <w:rFonts w:ascii="David" w:eastAsia="Times New Roman" w:hAnsi="David" w:cs="David" w:hint="cs"/>
          <w:sz w:val="28"/>
          <w:szCs w:val="28"/>
          <w:rtl/>
        </w:rPr>
        <w:t>ע</w:t>
      </w:r>
      <w:r>
        <w:rPr>
          <w:rFonts w:ascii="David" w:eastAsia="Times New Roman" w:hAnsi="David" w:cs="David" w:hint="cs"/>
          <w:sz w:val="28"/>
          <w:szCs w:val="28"/>
          <w:rtl/>
        </w:rPr>
        <w:t xml:space="preserve">דים הינה עסקת אמת וממילא התשלום </w:t>
      </w:r>
      <w:r w:rsidR="00500249">
        <w:rPr>
          <w:rFonts w:ascii="David" w:eastAsia="Times New Roman" w:hAnsi="David" w:cs="David" w:hint="cs"/>
          <w:sz w:val="28"/>
          <w:szCs w:val="28"/>
          <w:rtl/>
        </w:rPr>
        <w:t>בסך 150,000</w:t>
      </w:r>
      <w:r>
        <w:rPr>
          <w:rFonts w:ascii="David" w:eastAsia="Times New Roman" w:hAnsi="David" w:cs="David" w:hint="cs"/>
          <w:sz w:val="28"/>
          <w:szCs w:val="28"/>
          <w:rtl/>
        </w:rPr>
        <w:t xml:space="preserve"> ₪ שהתקבל מדוידי למערער 2 אינו נגוע בעבירה כלשהי.</w:t>
      </w:r>
    </w:p>
    <w:p w14:paraId="5CF58180" w14:textId="77777777" w:rsidR="00BF1B38" w:rsidRPr="00BF1B38" w:rsidRDefault="00BF1B38" w:rsidP="00BF1B38">
      <w:pPr>
        <w:shd w:val="clear" w:color="auto" w:fill="FFFFFF"/>
        <w:spacing w:after="0" w:line="360" w:lineRule="auto"/>
        <w:jc w:val="both"/>
        <w:rPr>
          <w:rFonts w:ascii="David" w:eastAsia="Times New Roman" w:hAnsi="David" w:cs="David"/>
          <w:sz w:val="28"/>
          <w:szCs w:val="28"/>
        </w:rPr>
      </w:pPr>
    </w:p>
    <w:p w14:paraId="14E3DD86" w14:textId="6688909A" w:rsidR="00F41FEC" w:rsidRDefault="00500249" w:rsidP="00CA14D9">
      <w:pPr>
        <w:pStyle w:val="a5"/>
        <w:numPr>
          <w:ilvl w:val="0"/>
          <w:numId w:val="22"/>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ביום 7/5/15, </w:t>
      </w:r>
      <w:r w:rsidR="00CA14D9">
        <w:rPr>
          <w:rFonts w:ascii="David" w:eastAsia="Times New Roman" w:hAnsi="David" w:cs="David" w:hint="cs"/>
          <w:sz w:val="28"/>
          <w:szCs w:val="28"/>
          <w:rtl/>
        </w:rPr>
        <w:t>בו ביום שחתם דוידי על ההסכם עם חב' י</w:t>
      </w:r>
      <w:r w:rsidR="00FB39C5">
        <w:rPr>
          <w:rFonts w:ascii="David" w:eastAsia="Times New Roman" w:hAnsi="David" w:cs="David" w:hint="cs"/>
          <w:sz w:val="28"/>
          <w:szCs w:val="28"/>
          <w:rtl/>
        </w:rPr>
        <w:t>ע</w:t>
      </w:r>
      <w:r w:rsidR="00CA14D9">
        <w:rPr>
          <w:rFonts w:ascii="David" w:eastAsia="Times New Roman" w:hAnsi="David" w:cs="David" w:hint="cs"/>
          <w:sz w:val="28"/>
          <w:szCs w:val="28"/>
          <w:rtl/>
        </w:rPr>
        <w:t xml:space="preserve">דים הוא התקשר למערער 2 ועדכן אותו שחתם על </w:t>
      </w:r>
      <w:r w:rsidR="00CA14D9" w:rsidRPr="00CA14D9">
        <w:rPr>
          <w:rFonts w:ascii="David" w:eastAsia="Times New Roman" w:hAnsi="David" w:cs="David" w:hint="cs"/>
          <w:b/>
          <w:bCs/>
          <w:sz w:val="28"/>
          <w:szCs w:val="28"/>
          <w:rtl/>
        </w:rPr>
        <w:t>ה</w:t>
      </w:r>
      <w:r w:rsidR="00CA14D9" w:rsidRPr="00CA14D9">
        <w:rPr>
          <w:rFonts w:ascii="David" w:eastAsia="Times New Roman" w:hAnsi="David" w:cs="David" w:hint="cs"/>
          <w:sz w:val="28"/>
          <w:szCs w:val="28"/>
          <w:rtl/>
        </w:rPr>
        <w:t>הסכם</w:t>
      </w:r>
      <w:r>
        <w:rPr>
          <w:rFonts w:ascii="David" w:eastAsia="Times New Roman" w:hAnsi="David" w:cs="David" w:hint="cs"/>
          <w:sz w:val="28"/>
          <w:szCs w:val="28"/>
          <w:rtl/>
        </w:rPr>
        <w:t xml:space="preserve"> (בהא הידיעה)</w:t>
      </w:r>
      <w:r w:rsidR="00CA14D9">
        <w:rPr>
          <w:rFonts w:ascii="David" w:eastAsia="Times New Roman" w:hAnsi="David" w:cs="David" w:hint="cs"/>
          <w:sz w:val="28"/>
          <w:szCs w:val="28"/>
          <w:rtl/>
        </w:rPr>
        <w:t xml:space="preserve">. </w:t>
      </w:r>
      <w:r>
        <w:rPr>
          <w:rFonts w:ascii="David" w:eastAsia="Times New Roman" w:hAnsi="David" w:cs="David" w:hint="cs"/>
          <w:sz w:val="28"/>
          <w:szCs w:val="28"/>
          <w:rtl/>
        </w:rPr>
        <w:t xml:space="preserve">בתגובה </w:t>
      </w:r>
      <w:r w:rsidR="00CA14D9">
        <w:rPr>
          <w:rFonts w:ascii="David" w:eastAsia="Times New Roman" w:hAnsi="David" w:cs="David" w:hint="cs"/>
          <w:sz w:val="28"/>
          <w:szCs w:val="28"/>
          <w:rtl/>
        </w:rPr>
        <w:t xml:space="preserve">מערער </w:t>
      </w:r>
      <w:r>
        <w:rPr>
          <w:rFonts w:ascii="David" w:eastAsia="Times New Roman" w:hAnsi="David" w:cs="David" w:hint="cs"/>
          <w:sz w:val="28"/>
          <w:szCs w:val="28"/>
          <w:rtl/>
        </w:rPr>
        <w:t>2</w:t>
      </w:r>
      <w:r w:rsidR="00CA14D9">
        <w:rPr>
          <w:rFonts w:ascii="David" w:eastAsia="Times New Roman" w:hAnsi="David" w:cs="David" w:hint="cs"/>
          <w:sz w:val="28"/>
          <w:szCs w:val="28"/>
          <w:rtl/>
        </w:rPr>
        <w:t xml:space="preserve"> </w:t>
      </w:r>
      <w:r>
        <w:rPr>
          <w:rFonts w:ascii="David" w:eastAsia="Times New Roman" w:hAnsi="David" w:cs="David" w:hint="cs"/>
          <w:sz w:val="28"/>
          <w:szCs w:val="28"/>
          <w:rtl/>
        </w:rPr>
        <w:t xml:space="preserve">הציע </w:t>
      </w:r>
      <w:r w:rsidR="00CA14D9">
        <w:rPr>
          <w:rFonts w:ascii="David" w:eastAsia="Times New Roman" w:hAnsi="David" w:cs="David" w:hint="cs"/>
          <w:sz w:val="28"/>
          <w:szCs w:val="28"/>
          <w:rtl/>
        </w:rPr>
        <w:t xml:space="preserve">שהשניים </w:t>
      </w:r>
      <w:r w:rsidR="00F41FEC">
        <w:rPr>
          <w:rFonts w:ascii="David" w:eastAsia="Times New Roman" w:hAnsi="David" w:cs="David" w:hint="cs"/>
          <w:sz w:val="28"/>
          <w:szCs w:val="28"/>
          <w:rtl/>
        </w:rPr>
        <w:t>יקיימו פגישה ביניהם. מתוכנה ש</w:t>
      </w:r>
      <w:r w:rsidR="00FB39C5">
        <w:rPr>
          <w:rFonts w:ascii="David" w:eastAsia="Times New Roman" w:hAnsi="David" w:cs="David" w:hint="cs"/>
          <w:sz w:val="28"/>
          <w:szCs w:val="28"/>
          <w:rtl/>
        </w:rPr>
        <w:t>ל</w:t>
      </w:r>
      <w:r w:rsidR="00F41FEC">
        <w:rPr>
          <w:rFonts w:ascii="David" w:eastAsia="Times New Roman" w:hAnsi="David" w:cs="David" w:hint="cs"/>
          <w:sz w:val="28"/>
          <w:szCs w:val="28"/>
          <w:rtl/>
        </w:rPr>
        <w:t xml:space="preserve"> </w:t>
      </w:r>
      <w:r>
        <w:rPr>
          <w:rFonts w:ascii="David" w:eastAsia="Times New Roman" w:hAnsi="David" w:cs="David" w:hint="cs"/>
          <w:sz w:val="28"/>
          <w:szCs w:val="28"/>
          <w:rtl/>
        </w:rPr>
        <w:t>הש</w:t>
      </w:r>
      <w:r w:rsidR="00F41FEC">
        <w:rPr>
          <w:rFonts w:ascii="David" w:eastAsia="Times New Roman" w:hAnsi="David" w:cs="David" w:hint="cs"/>
          <w:sz w:val="28"/>
          <w:szCs w:val="28"/>
          <w:rtl/>
        </w:rPr>
        <w:t>יחה ברור כי השניים ידעו היטב על איזה הסכם מדובר וכי נדברו ביניהם אודות עסקת י</w:t>
      </w:r>
      <w:r w:rsidR="00FB39C5">
        <w:rPr>
          <w:rFonts w:ascii="David" w:eastAsia="Times New Roman" w:hAnsi="David" w:cs="David" w:hint="cs"/>
          <w:sz w:val="28"/>
          <w:szCs w:val="28"/>
          <w:rtl/>
        </w:rPr>
        <w:t>ע</w:t>
      </w:r>
      <w:r w:rsidR="00F41FEC">
        <w:rPr>
          <w:rFonts w:ascii="David" w:eastAsia="Times New Roman" w:hAnsi="David" w:cs="David" w:hint="cs"/>
          <w:sz w:val="28"/>
          <w:szCs w:val="28"/>
          <w:rtl/>
        </w:rPr>
        <w:t xml:space="preserve">דים </w:t>
      </w:r>
      <w:r w:rsidR="00F41FEC" w:rsidRPr="000E057F">
        <w:rPr>
          <w:rFonts w:ascii="David" w:eastAsia="Times New Roman" w:hAnsi="David" w:cs="David" w:hint="cs"/>
          <w:b/>
          <w:bCs/>
          <w:sz w:val="28"/>
          <w:szCs w:val="28"/>
          <w:rtl/>
        </w:rPr>
        <w:t>עוד קודם</w:t>
      </w:r>
      <w:r w:rsidR="00F41FEC">
        <w:rPr>
          <w:rFonts w:ascii="David" w:eastAsia="Times New Roman" w:hAnsi="David" w:cs="David" w:hint="cs"/>
          <w:sz w:val="28"/>
          <w:szCs w:val="28"/>
          <w:rtl/>
        </w:rPr>
        <w:t xml:space="preserve"> למועד השיחה הטלפונית. עוד עולה כי לאחר חתימתו של דוידי </w:t>
      </w:r>
      <w:r w:rsidR="000E057F">
        <w:rPr>
          <w:rFonts w:ascii="David" w:eastAsia="Times New Roman" w:hAnsi="David" w:cs="David" w:hint="cs"/>
          <w:sz w:val="28"/>
          <w:szCs w:val="28"/>
          <w:rtl/>
        </w:rPr>
        <w:t xml:space="preserve">על ההסכם עם חברת יעדים </w:t>
      </w:r>
      <w:r w:rsidR="00F41FEC">
        <w:rPr>
          <w:rFonts w:ascii="David" w:eastAsia="Times New Roman" w:hAnsi="David" w:cs="David" w:hint="cs"/>
          <w:sz w:val="28"/>
          <w:szCs w:val="28"/>
          <w:rtl/>
        </w:rPr>
        <w:t xml:space="preserve">נדברו השניים להיפגש ביניהם </w:t>
      </w:r>
      <w:r w:rsidR="00F41FEC" w:rsidRPr="000E057F">
        <w:rPr>
          <w:rFonts w:ascii="David" w:eastAsia="Times New Roman" w:hAnsi="David" w:cs="David" w:hint="cs"/>
          <w:b/>
          <w:bCs/>
          <w:sz w:val="28"/>
          <w:szCs w:val="28"/>
          <w:rtl/>
        </w:rPr>
        <w:t>בקשר לאותה ה</w:t>
      </w:r>
      <w:r w:rsidR="00FB39C5" w:rsidRPr="000E057F">
        <w:rPr>
          <w:rFonts w:ascii="David" w:eastAsia="Times New Roman" w:hAnsi="David" w:cs="David" w:hint="cs"/>
          <w:b/>
          <w:bCs/>
          <w:sz w:val="28"/>
          <w:szCs w:val="28"/>
          <w:rtl/>
        </w:rPr>
        <w:t>עסקה</w:t>
      </w:r>
      <w:r w:rsidR="00F41FEC" w:rsidRPr="000E057F">
        <w:rPr>
          <w:rFonts w:ascii="David" w:eastAsia="Times New Roman" w:hAnsi="David" w:cs="David" w:hint="cs"/>
          <w:b/>
          <w:bCs/>
          <w:sz w:val="28"/>
          <w:szCs w:val="28"/>
          <w:rtl/>
        </w:rPr>
        <w:t>.</w:t>
      </w:r>
      <w:r w:rsidR="00F41FEC">
        <w:rPr>
          <w:rFonts w:ascii="David" w:eastAsia="Times New Roman" w:hAnsi="David" w:cs="David" w:hint="cs"/>
          <w:sz w:val="28"/>
          <w:szCs w:val="28"/>
          <w:rtl/>
        </w:rPr>
        <w:t xml:space="preserve"> הדברים הללו שנקלטו בהאזנת סתר (נ</w:t>
      </w:r>
      <w:r w:rsidR="000E057F">
        <w:rPr>
          <w:rFonts w:ascii="David" w:eastAsia="Times New Roman" w:hAnsi="David" w:cs="David" w:hint="cs"/>
          <w:sz w:val="28"/>
          <w:szCs w:val="28"/>
          <w:rtl/>
        </w:rPr>
        <w:t>'</w:t>
      </w:r>
      <w:r w:rsidR="00F41FEC">
        <w:rPr>
          <w:rFonts w:ascii="David" w:eastAsia="Times New Roman" w:hAnsi="David" w:cs="David" w:hint="cs"/>
          <w:sz w:val="28"/>
          <w:szCs w:val="28"/>
          <w:rtl/>
        </w:rPr>
        <w:t xml:space="preserve"> 20), מתי</w:t>
      </w:r>
      <w:r w:rsidR="001E452A">
        <w:rPr>
          <w:rFonts w:ascii="David" w:eastAsia="Times New Roman" w:hAnsi="David" w:cs="David" w:hint="cs"/>
          <w:sz w:val="28"/>
          <w:szCs w:val="28"/>
          <w:rtl/>
        </w:rPr>
        <w:t>י</w:t>
      </w:r>
      <w:r w:rsidR="00F41FEC">
        <w:rPr>
          <w:rFonts w:ascii="David" w:eastAsia="Times New Roman" w:hAnsi="David" w:cs="David" w:hint="cs"/>
          <w:sz w:val="28"/>
          <w:szCs w:val="28"/>
          <w:rtl/>
        </w:rPr>
        <w:t>שבים ומחזקי</w:t>
      </w:r>
      <w:r w:rsidR="001E452A">
        <w:rPr>
          <w:rFonts w:ascii="David" w:eastAsia="Times New Roman" w:hAnsi="David" w:cs="David" w:hint="cs"/>
          <w:sz w:val="28"/>
          <w:szCs w:val="28"/>
          <w:rtl/>
        </w:rPr>
        <w:t>ם</w:t>
      </w:r>
      <w:r w:rsidR="00F41FEC">
        <w:rPr>
          <w:rFonts w:ascii="David" w:eastAsia="Times New Roman" w:hAnsi="David" w:cs="David" w:hint="cs"/>
          <w:sz w:val="28"/>
          <w:szCs w:val="28"/>
          <w:rtl/>
        </w:rPr>
        <w:t xml:space="preserve"> </w:t>
      </w:r>
      <w:r w:rsidR="001E452A">
        <w:rPr>
          <w:rFonts w:ascii="David" w:eastAsia="Times New Roman" w:hAnsi="David" w:cs="David" w:hint="cs"/>
          <w:sz w:val="28"/>
          <w:szCs w:val="28"/>
          <w:rtl/>
        </w:rPr>
        <w:t xml:space="preserve">את </w:t>
      </w:r>
      <w:r w:rsidR="00F41FEC">
        <w:rPr>
          <w:rFonts w:ascii="David" w:eastAsia="Times New Roman" w:hAnsi="David" w:cs="David" w:hint="cs"/>
          <w:sz w:val="28"/>
          <w:szCs w:val="28"/>
          <w:rtl/>
        </w:rPr>
        <w:t xml:space="preserve">טענתם העקבית של דוידי ומערער 2 ולפיה </w:t>
      </w:r>
      <w:r w:rsidR="00FB39C5">
        <w:rPr>
          <w:rFonts w:ascii="David" w:eastAsia="Times New Roman" w:hAnsi="David" w:cs="David" w:hint="cs"/>
          <w:sz w:val="28"/>
          <w:szCs w:val="28"/>
          <w:rtl/>
        </w:rPr>
        <w:t>עסקת יעדים</w:t>
      </w:r>
      <w:r w:rsidR="00F41FEC">
        <w:rPr>
          <w:rFonts w:ascii="David" w:eastAsia="Times New Roman" w:hAnsi="David" w:cs="David" w:hint="cs"/>
          <w:sz w:val="28"/>
          <w:szCs w:val="28"/>
          <w:rtl/>
        </w:rPr>
        <w:t xml:space="preserve">- </w:t>
      </w:r>
      <w:r w:rsidR="001E452A">
        <w:rPr>
          <w:rFonts w:ascii="David" w:eastAsia="Times New Roman" w:hAnsi="David" w:cs="David" w:hint="cs"/>
          <w:sz w:val="28"/>
          <w:szCs w:val="28"/>
          <w:rtl/>
        </w:rPr>
        <w:t>עסקת</w:t>
      </w:r>
      <w:r w:rsidR="00F41FEC">
        <w:rPr>
          <w:rFonts w:ascii="David" w:eastAsia="Times New Roman" w:hAnsi="David" w:cs="David" w:hint="cs"/>
          <w:sz w:val="28"/>
          <w:szCs w:val="28"/>
          <w:rtl/>
        </w:rPr>
        <w:t xml:space="preserve"> אמת ה</w:t>
      </w:r>
      <w:r w:rsidR="000E057F">
        <w:rPr>
          <w:rFonts w:ascii="David" w:eastAsia="Times New Roman" w:hAnsi="David" w:cs="David" w:hint="cs"/>
          <w:sz w:val="28"/>
          <w:szCs w:val="28"/>
          <w:rtl/>
        </w:rPr>
        <w:t>י</w:t>
      </w:r>
      <w:r w:rsidR="00F41FEC">
        <w:rPr>
          <w:rFonts w:ascii="David" w:eastAsia="Times New Roman" w:hAnsi="David" w:cs="David" w:hint="cs"/>
          <w:sz w:val="28"/>
          <w:szCs w:val="28"/>
          <w:rtl/>
        </w:rPr>
        <w:t xml:space="preserve">א. </w:t>
      </w:r>
    </w:p>
    <w:p w14:paraId="2912B18B" w14:textId="77777777" w:rsidR="00BF1B38" w:rsidRDefault="00BF1B38" w:rsidP="00BF1B38">
      <w:pPr>
        <w:pStyle w:val="a5"/>
        <w:shd w:val="clear" w:color="auto" w:fill="FFFFFF"/>
        <w:spacing w:after="0" w:line="360" w:lineRule="auto"/>
        <w:ind w:left="755"/>
        <w:jc w:val="both"/>
        <w:rPr>
          <w:rFonts w:ascii="David" w:eastAsia="Times New Roman" w:hAnsi="David" w:cs="David"/>
          <w:sz w:val="28"/>
          <w:szCs w:val="28"/>
        </w:rPr>
      </w:pPr>
    </w:p>
    <w:p w14:paraId="5C4DA039" w14:textId="129E2785" w:rsidR="006512BC" w:rsidRDefault="00F41FEC" w:rsidP="00CA14D9">
      <w:pPr>
        <w:pStyle w:val="a5"/>
        <w:numPr>
          <w:ilvl w:val="0"/>
          <w:numId w:val="22"/>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הוכחה ניצחת נוספת לכך שמדובר ב</w:t>
      </w:r>
      <w:r w:rsidR="001E452A">
        <w:rPr>
          <w:rFonts w:ascii="David" w:eastAsia="Times New Roman" w:hAnsi="David" w:cs="David" w:hint="cs"/>
          <w:sz w:val="28"/>
          <w:szCs w:val="28"/>
          <w:rtl/>
        </w:rPr>
        <w:t>עסקת</w:t>
      </w:r>
      <w:r>
        <w:rPr>
          <w:rFonts w:ascii="David" w:eastAsia="Times New Roman" w:hAnsi="David" w:cs="David" w:hint="cs"/>
          <w:sz w:val="28"/>
          <w:szCs w:val="28"/>
          <w:rtl/>
        </w:rPr>
        <w:t xml:space="preserve"> אמת</w:t>
      </w:r>
      <w:r w:rsidR="000E057F">
        <w:rPr>
          <w:rFonts w:ascii="David" w:eastAsia="Times New Roman" w:hAnsi="David" w:cs="David" w:hint="cs"/>
          <w:sz w:val="28"/>
          <w:szCs w:val="28"/>
          <w:rtl/>
        </w:rPr>
        <w:t xml:space="preserve"> עולה</w:t>
      </w:r>
      <w:r>
        <w:rPr>
          <w:rFonts w:ascii="David" w:eastAsia="Times New Roman" w:hAnsi="David" w:cs="David" w:hint="cs"/>
          <w:sz w:val="28"/>
          <w:szCs w:val="28"/>
          <w:rtl/>
        </w:rPr>
        <w:t xml:space="preserve"> </w:t>
      </w:r>
      <w:r w:rsidR="000E057F">
        <w:rPr>
          <w:rFonts w:ascii="David" w:eastAsia="Times New Roman" w:hAnsi="David" w:cs="David" w:hint="cs"/>
          <w:sz w:val="28"/>
          <w:szCs w:val="28"/>
          <w:rtl/>
        </w:rPr>
        <w:t>מ</w:t>
      </w:r>
      <w:r>
        <w:rPr>
          <w:rFonts w:ascii="David" w:eastAsia="Times New Roman" w:hAnsi="David" w:cs="David" w:hint="cs"/>
          <w:sz w:val="28"/>
          <w:szCs w:val="28"/>
          <w:rtl/>
        </w:rPr>
        <w:t xml:space="preserve">צירופו של דרור </w:t>
      </w:r>
      <w:proofErr w:type="spellStart"/>
      <w:r>
        <w:rPr>
          <w:rFonts w:ascii="David" w:eastAsia="Times New Roman" w:hAnsi="David" w:cs="David" w:hint="cs"/>
          <w:sz w:val="28"/>
          <w:szCs w:val="28"/>
          <w:rtl/>
        </w:rPr>
        <w:t>אלמלם</w:t>
      </w:r>
      <w:proofErr w:type="spellEnd"/>
      <w:r>
        <w:rPr>
          <w:rFonts w:ascii="David" w:eastAsia="Times New Roman" w:hAnsi="David" w:cs="David" w:hint="cs"/>
          <w:sz w:val="28"/>
          <w:szCs w:val="28"/>
          <w:rtl/>
        </w:rPr>
        <w:t xml:space="preserve"> כמתווך נוסף ב</w:t>
      </w:r>
      <w:r w:rsidR="00FB39C5">
        <w:rPr>
          <w:rFonts w:ascii="David" w:eastAsia="Times New Roman" w:hAnsi="David" w:cs="David" w:hint="cs"/>
          <w:sz w:val="28"/>
          <w:szCs w:val="28"/>
          <w:rtl/>
        </w:rPr>
        <w:t>עסקת יעדים</w:t>
      </w:r>
      <w:r w:rsidR="000E057F">
        <w:rPr>
          <w:rFonts w:ascii="David" w:eastAsia="Times New Roman" w:hAnsi="David" w:cs="David" w:hint="cs"/>
          <w:sz w:val="28"/>
          <w:szCs w:val="28"/>
          <w:rtl/>
        </w:rPr>
        <w:t>.</w:t>
      </w:r>
      <w:r>
        <w:rPr>
          <w:rFonts w:ascii="David" w:eastAsia="Times New Roman" w:hAnsi="David" w:cs="David" w:hint="cs"/>
          <w:sz w:val="28"/>
          <w:szCs w:val="28"/>
          <w:rtl/>
        </w:rPr>
        <w:t xml:space="preserve"> המדובר במתווך וותיק שניהל את השלוחה המקומית של משרד התיווך הארצי, </w:t>
      </w:r>
      <w:proofErr w:type="spellStart"/>
      <w:r>
        <w:rPr>
          <w:rFonts w:ascii="David" w:eastAsia="Times New Roman" w:hAnsi="David" w:cs="David" w:hint="cs"/>
          <w:sz w:val="28"/>
          <w:szCs w:val="28"/>
          <w:rtl/>
        </w:rPr>
        <w:t>רימקס</w:t>
      </w:r>
      <w:proofErr w:type="spellEnd"/>
      <w:r>
        <w:rPr>
          <w:rFonts w:ascii="David" w:eastAsia="Times New Roman" w:hAnsi="David" w:cs="David" w:hint="cs"/>
          <w:sz w:val="28"/>
          <w:szCs w:val="28"/>
          <w:rtl/>
        </w:rPr>
        <w:t>. ביום 11/5/15, ימים ספורים לאחר השיחה בקשר ל</w:t>
      </w:r>
      <w:r w:rsidR="00FB39C5">
        <w:rPr>
          <w:rFonts w:ascii="David" w:eastAsia="Times New Roman" w:hAnsi="David" w:cs="David" w:hint="cs"/>
          <w:sz w:val="28"/>
          <w:szCs w:val="28"/>
          <w:rtl/>
        </w:rPr>
        <w:t>עסקת יעדים</w:t>
      </w:r>
      <w:r>
        <w:rPr>
          <w:rFonts w:ascii="David" w:eastAsia="Times New Roman" w:hAnsi="David" w:cs="David" w:hint="cs"/>
          <w:sz w:val="28"/>
          <w:szCs w:val="28"/>
          <w:rtl/>
        </w:rPr>
        <w:t xml:space="preserve"> שהתקיימה בין דוידי למערער 2, התקיימה שיחה בין מערער 2 לדרור </w:t>
      </w:r>
      <w:proofErr w:type="spellStart"/>
      <w:r>
        <w:rPr>
          <w:rFonts w:ascii="David" w:eastAsia="Times New Roman" w:hAnsi="David" w:cs="David" w:hint="cs"/>
          <w:sz w:val="28"/>
          <w:szCs w:val="28"/>
          <w:rtl/>
        </w:rPr>
        <w:t>אלמלם</w:t>
      </w:r>
      <w:proofErr w:type="spellEnd"/>
      <w:r>
        <w:rPr>
          <w:rFonts w:ascii="David" w:eastAsia="Times New Roman" w:hAnsi="David" w:cs="David" w:hint="cs"/>
          <w:sz w:val="28"/>
          <w:szCs w:val="28"/>
          <w:rtl/>
        </w:rPr>
        <w:t xml:space="preserve"> (נ</w:t>
      </w:r>
      <w:r w:rsidR="000E057F">
        <w:rPr>
          <w:rFonts w:ascii="David" w:eastAsia="Times New Roman" w:hAnsi="David" w:cs="David" w:hint="cs"/>
          <w:sz w:val="28"/>
          <w:szCs w:val="28"/>
          <w:rtl/>
        </w:rPr>
        <w:t>'</w:t>
      </w:r>
      <w:r>
        <w:rPr>
          <w:rFonts w:ascii="David" w:eastAsia="Times New Roman" w:hAnsi="David" w:cs="David" w:hint="cs"/>
          <w:sz w:val="28"/>
          <w:szCs w:val="28"/>
          <w:rtl/>
        </w:rPr>
        <w:t xml:space="preserve"> 32)</w:t>
      </w:r>
      <w:r w:rsidR="000E057F">
        <w:rPr>
          <w:rFonts w:ascii="David" w:eastAsia="Times New Roman" w:hAnsi="David" w:cs="David" w:hint="cs"/>
          <w:sz w:val="28"/>
          <w:szCs w:val="28"/>
          <w:rtl/>
        </w:rPr>
        <w:t>.</w:t>
      </w:r>
      <w:r>
        <w:rPr>
          <w:rFonts w:ascii="David" w:eastAsia="Times New Roman" w:hAnsi="David" w:cs="David" w:hint="cs"/>
          <w:sz w:val="28"/>
          <w:szCs w:val="28"/>
          <w:rtl/>
        </w:rPr>
        <w:t xml:space="preserve"> </w:t>
      </w:r>
      <w:r w:rsidR="000E057F">
        <w:rPr>
          <w:rFonts w:ascii="David" w:eastAsia="Times New Roman" w:hAnsi="David" w:cs="David" w:hint="cs"/>
          <w:sz w:val="28"/>
          <w:szCs w:val="28"/>
          <w:rtl/>
        </w:rPr>
        <w:t xml:space="preserve">בשיחה זו עדכן מערער 2 את דרור </w:t>
      </w:r>
      <w:proofErr w:type="spellStart"/>
      <w:r w:rsidR="000E057F">
        <w:rPr>
          <w:rFonts w:ascii="David" w:eastAsia="Times New Roman" w:hAnsi="David" w:cs="David" w:hint="cs"/>
          <w:sz w:val="28"/>
          <w:szCs w:val="28"/>
          <w:rtl/>
        </w:rPr>
        <w:t>אלמלם</w:t>
      </w:r>
      <w:proofErr w:type="spellEnd"/>
      <w:r w:rsidR="000E057F">
        <w:rPr>
          <w:rFonts w:ascii="David" w:eastAsia="Times New Roman" w:hAnsi="David" w:cs="David" w:hint="cs"/>
          <w:sz w:val="28"/>
          <w:szCs w:val="28"/>
          <w:rtl/>
        </w:rPr>
        <w:t xml:space="preserve"> </w:t>
      </w:r>
      <w:r>
        <w:rPr>
          <w:rFonts w:ascii="David" w:eastAsia="Times New Roman" w:hAnsi="David" w:cs="David" w:hint="cs"/>
          <w:sz w:val="28"/>
          <w:szCs w:val="28"/>
          <w:rtl/>
        </w:rPr>
        <w:t xml:space="preserve">שהוא ביקש מדוידי שיסכים לכך ששיווק </w:t>
      </w:r>
      <w:proofErr w:type="spellStart"/>
      <w:r>
        <w:rPr>
          <w:rFonts w:ascii="David" w:eastAsia="Times New Roman" w:hAnsi="David" w:cs="David" w:hint="cs"/>
          <w:sz w:val="28"/>
          <w:szCs w:val="28"/>
          <w:rtl/>
        </w:rPr>
        <w:t>הפרוייקט</w:t>
      </w:r>
      <w:proofErr w:type="spellEnd"/>
      <w:r>
        <w:rPr>
          <w:rFonts w:ascii="David" w:eastAsia="Times New Roman" w:hAnsi="David" w:cs="David" w:hint="cs"/>
          <w:sz w:val="28"/>
          <w:szCs w:val="28"/>
          <w:rtl/>
        </w:rPr>
        <w:t xml:space="preserve"> יתבצע ע"י שניהם</w:t>
      </w:r>
      <w:r w:rsidR="000E057F">
        <w:rPr>
          <w:rFonts w:ascii="David" w:eastAsia="Times New Roman" w:hAnsi="David" w:cs="David" w:hint="cs"/>
          <w:sz w:val="28"/>
          <w:szCs w:val="28"/>
          <w:rtl/>
        </w:rPr>
        <w:t>.</w:t>
      </w:r>
      <w:r>
        <w:rPr>
          <w:rFonts w:ascii="David" w:eastAsia="Times New Roman" w:hAnsi="David" w:cs="David" w:hint="cs"/>
          <w:sz w:val="28"/>
          <w:szCs w:val="28"/>
          <w:rtl/>
        </w:rPr>
        <w:t xml:space="preserve"> גם משיחה זו ברור שהשניים </w:t>
      </w:r>
      <w:proofErr w:type="spellStart"/>
      <w:r>
        <w:rPr>
          <w:rFonts w:ascii="David" w:eastAsia="Times New Roman" w:hAnsi="David" w:cs="David" w:hint="cs"/>
          <w:sz w:val="28"/>
          <w:szCs w:val="28"/>
          <w:rtl/>
        </w:rPr>
        <w:t>נ</w:t>
      </w:r>
      <w:r w:rsidR="001E452A">
        <w:rPr>
          <w:rFonts w:ascii="David" w:eastAsia="Times New Roman" w:hAnsi="David" w:cs="David" w:hint="cs"/>
          <w:sz w:val="28"/>
          <w:szCs w:val="28"/>
          <w:rtl/>
        </w:rPr>
        <w:t>י</w:t>
      </w:r>
      <w:r>
        <w:rPr>
          <w:rFonts w:ascii="David" w:eastAsia="Times New Roman" w:hAnsi="David" w:cs="David" w:hint="cs"/>
          <w:sz w:val="28"/>
          <w:szCs w:val="28"/>
          <w:rtl/>
        </w:rPr>
        <w:t>דברו</w:t>
      </w:r>
      <w:proofErr w:type="spellEnd"/>
      <w:r>
        <w:rPr>
          <w:rFonts w:ascii="David" w:eastAsia="Times New Roman" w:hAnsi="David" w:cs="David" w:hint="cs"/>
          <w:sz w:val="28"/>
          <w:szCs w:val="28"/>
          <w:rtl/>
        </w:rPr>
        <w:t xml:space="preserve"> ביניהם אודות הנושא שעל הפרק עוד קודם לשיחה זו.</w:t>
      </w:r>
      <w:r w:rsidR="000E057F">
        <w:rPr>
          <w:rFonts w:ascii="David" w:eastAsia="Times New Roman" w:hAnsi="David" w:cs="David" w:hint="cs"/>
          <w:sz w:val="28"/>
          <w:szCs w:val="28"/>
          <w:rtl/>
        </w:rPr>
        <w:t xml:space="preserve"> כאמור לעיל ברור שעל הפרק עמדה עסקת יעדים.</w:t>
      </w:r>
    </w:p>
    <w:p w14:paraId="3324AF01" w14:textId="6E213279" w:rsidR="000E057F" w:rsidRPr="000E057F" w:rsidRDefault="000E057F" w:rsidP="000E057F">
      <w:pPr>
        <w:shd w:val="clear" w:color="auto" w:fill="FFFFFF"/>
        <w:spacing w:after="0" w:line="360" w:lineRule="auto"/>
        <w:jc w:val="both"/>
        <w:rPr>
          <w:rFonts w:ascii="David" w:eastAsia="Times New Roman" w:hAnsi="David" w:cs="David"/>
          <w:sz w:val="28"/>
          <w:szCs w:val="28"/>
        </w:rPr>
      </w:pPr>
    </w:p>
    <w:p w14:paraId="0F72FBB7" w14:textId="77777777" w:rsidR="00BF1B38" w:rsidRPr="00BF1B38" w:rsidRDefault="00BF1B38" w:rsidP="00BF1B38">
      <w:pPr>
        <w:shd w:val="clear" w:color="auto" w:fill="FFFFFF"/>
        <w:spacing w:after="0" w:line="360" w:lineRule="auto"/>
        <w:jc w:val="both"/>
        <w:rPr>
          <w:rFonts w:ascii="David" w:eastAsia="Times New Roman" w:hAnsi="David" w:cs="David"/>
          <w:sz w:val="28"/>
          <w:szCs w:val="28"/>
        </w:rPr>
      </w:pPr>
    </w:p>
    <w:p w14:paraId="7889D6CD" w14:textId="049063B2" w:rsidR="009C1EFD" w:rsidRDefault="006512BC" w:rsidP="00CA14D9">
      <w:pPr>
        <w:pStyle w:val="a5"/>
        <w:numPr>
          <w:ilvl w:val="0"/>
          <w:numId w:val="22"/>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דרור </w:t>
      </w:r>
      <w:proofErr w:type="spellStart"/>
      <w:r>
        <w:rPr>
          <w:rFonts w:ascii="David" w:eastAsia="Times New Roman" w:hAnsi="David" w:cs="David" w:hint="cs"/>
          <w:sz w:val="28"/>
          <w:szCs w:val="28"/>
          <w:rtl/>
        </w:rPr>
        <w:t>אלמלם</w:t>
      </w:r>
      <w:proofErr w:type="spellEnd"/>
      <w:r>
        <w:rPr>
          <w:rFonts w:ascii="David" w:eastAsia="Times New Roman" w:hAnsi="David" w:cs="David" w:hint="cs"/>
          <w:sz w:val="28"/>
          <w:szCs w:val="28"/>
          <w:rtl/>
        </w:rPr>
        <w:t xml:space="preserve"> העיד מטעם המאשימה. הודעותיו במשטרה הוגשו בהסכמת הצדדים, חלף חקירה ראשית. (ת</w:t>
      </w:r>
      <w:r w:rsidR="000E057F">
        <w:rPr>
          <w:rFonts w:ascii="David" w:eastAsia="Times New Roman" w:hAnsi="David" w:cs="David" w:hint="cs"/>
          <w:sz w:val="28"/>
          <w:szCs w:val="28"/>
          <w:rtl/>
        </w:rPr>
        <w:t>'</w:t>
      </w:r>
      <w:r>
        <w:rPr>
          <w:rFonts w:ascii="David" w:eastAsia="Times New Roman" w:hAnsi="David" w:cs="David" w:hint="cs"/>
          <w:sz w:val="28"/>
          <w:szCs w:val="28"/>
          <w:rtl/>
        </w:rPr>
        <w:t xml:space="preserve"> 71 ו- ת</w:t>
      </w:r>
      <w:r w:rsidR="000E057F">
        <w:rPr>
          <w:rFonts w:ascii="David" w:eastAsia="Times New Roman" w:hAnsi="David" w:cs="David" w:hint="cs"/>
          <w:sz w:val="28"/>
          <w:szCs w:val="28"/>
          <w:rtl/>
        </w:rPr>
        <w:t>'</w:t>
      </w:r>
      <w:r>
        <w:rPr>
          <w:rFonts w:ascii="David" w:eastAsia="Times New Roman" w:hAnsi="David" w:cs="David" w:hint="cs"/>
          <w:sz w:val="28"/>
          <w:szCs w:val="28"/>
          <w:rtl/>
        </w:rPr>
        <w:t xml:space="preserve"> </w:t>
      </w:r>
      <w:r w:rsidR="000E057F">
        <w:rPr>
          <w:rFonts w:ascii="David" w:eastAsia="Times New Roman" w:hAnsi="David" w:cs="David" w:hint="cs"/>
          <w:sz w:val="28"/>
          <w:szCs w:val="28"/>
          <w:rtl/>
        </w:rPr>
        <w:t>71 א'</w:t>
      </w:r>
      <w:r>
        <w:rPr>
          <w:rFonts w:ascii="David" w:eastAsia="Times New Roman" w:hAnsi="David" w:cs="David" w:hint="cs"/>
          <w:sz w:val="28"/>
          <w:szCs w:val="28"/>
          <w:rtl/>
        </w:rPr>
        <w:t>)</w:t>
      </w:r>
      <w:r w:rsidR="000E057F">
        <w:rPr>
          <w:rFonts w:ascii="David" w:eastAsia="Times New Roman" w:hAnsi="David" w:cs="David" w:hint="cs"/>
          <w:sz w:val="28"/>
          <w:szCs w:val="28"/>
          <w:rtl/>
        </w:rPr>
        <w:t>.</w:t>
      </w:r>
      <w:r>
        <w:rPr>
          <w:rFonts w:ascii="David" w:eastAsia="Times New Roman" w:hAnsi="David" w:cs="David" w:hint="cs"/>
          <w:sz w:val="28"/>
          <w:szCs w:val="28"/>
          <w:rtl/>
        </w:rPr>
        <w:t xml:space="preserve"> כיוון שכך וכיוון </w:t>
      </w:r>
      <w:r w:rsidR="001E452A">
        <w:rPr>
          <w:rFonts w:ascii="David" w:eastAsia="Times New Roman" w:hAnsi="David" w:cs="David" w:hint="cs"/>
          <w:sz w:val="28"/>
          <w:szCs w:val="28"/>
          <w:rtl/>
        </w:rPr>
        <w:t>ש</w:t>
      </w:r>
      <w:r>
        <w:rPr>
          <w:rFonts w:ascii="David" w:eastAsia="Times New Roman" w:hAnsi="David" w:cs="David" w:hint="cs"/>
          <w:sz w:val="28"/>
          <w:szCs w:val="28"/>
          <w:rtl/>
        </w:rPr>
        <w:t xml:space="preserve">דרור </w:t>
      </w:r>
      <w:proofErr w:type="spellStart"/>
      <w:r>
        <w:rPr>
          <w:rFonts w:ascii="David" w:eastAsia="Times New Roman" w:hAnsi="David" w:cs="David" w:hint="cs"/>
          <w:sz w:val="28"/>
          <w:szCs w:val="28"/>
          <w:rtl/>
        </w:rPr>
        <w:t>אלמלם</w:t>
      </w:r>
      <w:proofErr w:type="spellEnd"/>
      <w:r>
        <w:rPr>
          <w:rFonts w:ascii="David" w:eastAsia="Times New Roman" w:hAnsi="David" w:cs="David" w:hint="cs"/>
          <w:sz w:val="28"/>
          <w:szCs w:val="28"/>
          <w:rtl/>
        </w:rPr>
        <w:t xml:space="preserve"> מסר באופן עקבי בחקירותיו במשטרה שמדובר ב</w:t>
      </w:r>
      <w:r w:rsidR="001E452A">
        <w:rPr>
          <w:rFonts w:ascii="David" w:eastAsia="Times New Roman" w:hAnsi="David" w:cs="David" w:hint="cs"/>
          <w:sz w:val="28"/>
          <w:szCs w:val="28"/>
          <w:rtl/>
        </w:rPr>
        <w:t>עסקת</w:t>
      </w:r>
      <w:r>
        <w:rPr>
          <w:rFonts w:ascii="David" w:eastAsia="Times New Roman" w:hAnsi="David" w:cs="David" w:hint="cs"/>
          <w:sz w:val="28"/>
          <w:szCs w:val="28"/>
          <w:rtl/>
        </w:rPr>
        <w:t xml:space="preserve"> אמת, הרי שעל פי כללי דינ</w:t>
      </w:r>
      <w:r w:rsidR="001E452A">
        <w:rPr>
          <w:rFonts w:ascii="David" w:eastAsia="Times New Roman" w:hAnsi="David" w:cs="David" w:hint="cs"/>
          <w:sz w:val="28"/>
          <w:szCs w:val="28"/>
          <w:rtl/>
        </w:rPr>
        <w:t>י</w:t>
      </w:r>
      <w:r w:rsidR="009C1EFD">
        <w:rPr>
          <w:rFonts w:ascii="David" w:eastAsia="Times New Roman" w:hAnsi="David" w:cs="David" w:hint="cs"/>
          <w:sz w:val="28"/>
          <w:szCs w:val="28"/>
          <w:rtl/>
        </w:rPr>
        <w:t xml:space="preserve"> הראיות</w:t>
      </w:r>
      <w:r w:rsidR="000E057F">
        <w:rPr>
          <w:rFonts w:ascii="David" w:eastAsia="Times New Roman" w:hAnsi="David" w:cs="David" w:hint="cs"/>
          <w:sz w:val="28"/>
          <w:szCs w:val="28"/>
          <w:rtl/>
        </w:rPr>
        <w:t xml:space="preserve">, </w:t>
      </w:r>
      <w:r w:rsidR="009C1EFD">
        <w:rPr>
          <w:rFonts w:ascii="David" w:eastAsia="Times New Roman" w:hAnsi="David" w:cs="David" w:hint="cs"/>
          <w:sz w:val="28"/>
          <w:szCs w:val="28"/>
          <w:rtl/>
        </w:rPr>
        <w:t>מנועה הי</w:t>
      </w:r>
      <w:r w:rsidR="001E452A">
        <w:rPr>
          <w:rFonts w:ascii="David" w:eastAsia="Times New Roman" w:hAnsi="David" w:cs="David" w:hint="cs"/>
          <w:sz w:val="28"/>
          <w:szCs w:val="28"/>
          <w:rtl/>
        </w:rPr>
        <w:t>י</w:t>
      </w:r>
      <w:r w:rsidR="009C1EFD">
        <w:rPr>
          <w:rFonts w:ascii="David" w:eastAsia="Times New Roman" w:hAnsi="David" w:cs="David" w:hint="cs"/>
          <w:sz w:val="28"/>
          <w:szCs w:val="28"/>
          <w:rtl/>
        </w:rPr>
        <w:t>תה המאשימה מלחלוק על כך ש</w:t>
      </w:r>
      <w:r w:rsidR="00FB39C5">
        <w:rPr>
          <w:rFonts w:ascii="David" w:eastAsia="Times New Roman" w:hAnsi="David" w:cs="David" w:hint="cs"/>
          <w:sz w:val="28"/>
          <w:szCs w:val="28"/>
          <w:rtl/>
        </w:rPr>
        <w:t>עסקת יעדים</w:t>
      </w:r>
      <w:r w:rsidR="009C1EFD">
        <w:rPr>
          <w:rFonts w:ascii="David" w:eastAsia="Times New Roman" w:hAnsi="David" w:cs="David" w:hint="cs"/>
          <w:sz w:val="28"/>
          <w:szCs w:val="28"/>
          <w:rtl/>
        </w:rPr>
        <w:t xml:space="preserve"> הינה </w:t>
      </w:r>
      <w:r w:rsidR="001E452A">
        <w:rPr>
          <w:rFonts w:ascii="David" w:eastAsia="Times New Roman" w:hAnsi="David" w:cs="David" w:hint="cs"/>
          <w:sz w:val="28"/>
          <w:szCs w:val="28"/>
          <w:rtl/>
        </w:rPr>
        <w:t>עסקת</w:t>
      </w:r>
      <w:r w:rsidR="009C1EFD">
        <w:rPr>
          <w:rFonts w:ascii="David" w:eastAsia="Times New Roman" w:hAnsi="David" w:cs="David" w:hint="cs"/>
          <w:sz w:val="28"/>
          <w:szCs w:val="28"/>
          <w:rtl/>
        </w:rPr>
        <w:t xml:space="preserve"> אמת.</w:t>
      </w:r>
    </w:p>
    <w:p w14:paraId="499B4737" w14:textId="77777777" w:rsidR="00BF1B38" w:rsidRPr="00BF1B38" w:rsidRDefault="00BF1B38" w:rsidP="00BF1B38">
      <w:pPr>
        <w:pStyle w:val="a5"/>
        <w:rPr>
          <w:rFonts w:ascii="David" w:eastAsia="Times New Roman" w:hAnsi="David" w:cs="David"/>
          <w:sz w:val="28"/>
          <w:szCs w:val="28"/>
          <w:rtl/>
        </w:rPr>
      </w:pPr>
    </w:p>
    <w:p w14:paraId="796F9B07" w14:textId="77777777" w:rsidR="00BF1B38" w:rsidRDefault="00BF1B38" w:rsidP="00BF1B38">
      <w:pPr>
        <w:pStyle w:val="a5"/>
        <w:shd w:val="clear" w:color="auto" w:fill="FFFFFF"/>
        <w:spacing w:after="0" w:line="360" w:lineRule="auto"/>
        <w:ind w:left="755"/>
        <w:jc w:val="both"/>
        <w:rPr>
          <w:rFonts w:ascii="David" w:eastAsia="Times New Roman" w:hAnsi="David" w:cs="David"/>
          <w:sz w:val="28"/>
          <w:szCs w:val="28"/>
        </w:rPr>
      </w:pPr>
    </w:p>
    <w:p w14:paraId="07EE8D64" w14:textId="6F71BDCA" w:rsidR="009C1EFD" w:rsidRDefault="009C1EFD" w:rsidP="00CA14D9">
      <w:pPr>
        <w:pStyle w:val="a5"/>
        <w:numPr>
          <w:ilvl w:val="0"/>
          <w:numId w:val="22"/>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כנגד התשלום ע"ס 150,000 ₪ בשיק מחשבון הבנק של דוידי, הוציא </w:t>
      </w:r>
      <w:r w:rsidR="000E057F">
        <w:rPr>
          <w:rFonts w:ascii="David" w:eastAsia="Times New Roman" w:hAnsi="David" w:cs="David" w:hint="cs"/>
          <w:sz w:val="28"/>
          <w:szCs w:val="28"/>
          <w:rtl/>
        </w:rPr>
        <w:t xml:space="preserve">המערער </w:t>
      </w:r>
      <w:r>
        <w:rPr>
          <w:rFonts w:ascii="David" w:eastAsia="Times New Roman" w:hAnsi="David" w:cs="David" w:hint="cs"/>
          <w:sz w:val="28"/>
          <w:szCs w:val="28"/>
          <w:rtl/>
        </w:rPr>
        <w:t>2 חשבוני</w:t>
      </w:r>
      <w:r w:rsidR="001E452A">
        <w:rPr>
          <w:rFonts w:ascii="David" w:eastAsia="Times New Roman" w:hAnsi="David" w:cs="David" w:hint="cs"/>
          <w:sz w:val="28"/>
          <w:szCs w:val="28"/>
          <w:rtl/>
        </w:rPr>
        <w:t>ו</w:t>
      </w:r>
      <w:r>
        <w:rPr>
          <w:rFonts w:ascii="David" w:eastAsia="Times New Roman" w:hAnsi="David" w:cs="David" w:hint="cs"/>
          <w:sz w:val="28"/>
          <w:szCs w:val="28"/>
          <w:rtl/>
        </w:rPr>
        <w:t xml:space="preserve">ת מס במועד ובה נרשם: </w:t>
      </w:r>
      <w:r w:rsidRPr="000E057F">
        <w:rPr>
          <w:rFonts w:ascii="David" w:eastAsia="Times New Roman" w:hAnsi="David" w:cs="David" w:hint="cs"/>
          <w:b/>
          <w:bCs/>
          <w:sz w:val="28"/>
          <w:szCs w:val="28"/>
          <w:rtl/>
        </w:rPr>
        <w:t xml:space="preserve">"תשלום בגין ביצוע </w:t>
      </w:r>
      <w:r w:rsidR="00FB39C5" w:rsidRPr="000E057F">
        <w:rPr>
          <w:rFonts w:ascii="David" w:eastAsia="Times New Roman" w:hAnsi="David" w:cs="David" w:hint="cs"/>
          <w:b/>
          <w:bCs/>
          <w:sz w:val="28"/>
          <w:szCs w:val="28"/>
          <w:rtl/>
        </w:rPr>
        <w:t>עסקת יעדים</w:t>
      </w:r>
      <w:r w:rsidRPr="000E057F">
        <w:rPr>
          <w:rFonts w:ascii="David" w:eastAsia="Times New Roman" w:hAnsi="David" w:cs="David" w:hint="cs"/>
          <w:b/>
          <w:bCs/>
          <w:sz w:val="28"/>
          <w:szCs w:val="28"/>
          <w:rtl/>
        </w:rPr>
        <w:t xml:space="preserve">, איתור שוכר </w:t>
      </w:r>
      <w:r w:rsidRPr="000E057F">
        <w:rPr>
          <w:rFonts w:ascii="David" w:eastAsia="Times New Roman" w:hAnsi="David" w:cs="David"/>
          <w:b/>
          <w:bCs/>
          <w:sz w:val="28"/>
          <w:szCs w:val="28"/>
        </w:rPr>
        <w:t>AAA</w:t>
      </w:r>
      <w:r w:rsidR="00F80A8A" w:rsidRPr="000E057F">
        <w:rPr>
          <w:rFonts w:ascii="David" w:eastAsia="Times New Roman" w:hAnsi="David" w:cs="David" w:hint="cs"/>
          <w:b/>
          <w:bCs/>
          <w:sz w:val="28"/>
          <w:szCs w:val="28"/>
          <w:rtl/>
        </w:rPr>
        <w:t xml:space="preserve">  </w:t>
      </w:r>
      <w:proofErr w:type="spellStart"/>
      <w:r w:rsidRPr="000E057F">
        <w:rPr>
          <w:rFonts w:ascii="David" w:eastAsia="Times New Roman" w:hAnsi="David" w:cs="David" w:hint="cs"/>
          <w:b/>
          <w:bCs/>
          <w:sz w:val="28"/>
          <w:szCs w:val="28"/>
          <w:rtl/>
        </w:rPr>
        <w:t>לפרוייקט</w:t>
      </w:r>
      <w:proofErr w:type="spellEnd"/>
      <w:r w:rsidRPr="000E057F">
        <w:rPr>
          <w:rFonts w:ascii="David" w:eastAsia="Times New Roman" w:hAnsi="David" w:cs="David" w:hint="cs"/>
          <w:b/>
          <w:bCs/>
          <w:sz w:val="28"/>
          <w:szCs w:val="28"/>
          <w:rtl/>
        </w:rPr>
        <w:t>, תשלום ראשון".</w:t>
      </w:r>
      <w:r>
        <w:rPr>
          <w:rFonts w:ascii="David" w:eastAsia="Times New Roman" w:hAnsi="David" w:cs="David" w:hint="cs"/>
          <w:sz w:val="28"/>
          <w:szCs w:val="28"/>
          <w:rtl/>
        </w:rPr>
        <w:t xml:space="preserve"> הנה כי כן, לא רק שהתשלום הכספי לא הועבר במחש</w:t>
      </w:r>
      <w:r w:rsidR="000E057F">
        <w:rPr>
          <w:rFonts w:ascii="David" w:eastAsia="Times New Roman" w:hAnsi="David" w:cs="David" w:hint="cs"/>
          <w:sz w:val="28"/>
          <w:szCs w:val="28"/>
          <w:rtl/>
        </w:rPr>
        <w:t>כ</w:t>
      </w:r>
      <w:r>
        <w:rPr>
          <w:rFonts w:ascii="David" w:eastAsia="Times New Roman" w:hAnsi="David" w:cs="David" w:hint="cs"/>
          <w:sz w:val="28"/>
          <w:szCs w:val="28"/>
          <w:rtl/>
        </w:rPr>
        <w:t>ים, כדרכו של תשלום שוחד, אלא שהרישום בחשבונית לא רק שייחס את ה</w:t>
      </w:r>
      <w:r w:rsidR="000E057F">
        <w:rPr>
          <w:rFonts w:ascii="David" w:eastAsia="Times New Roman" w:hAnsi="David" w:cs="David" w:hint="cs"/>
          <w:sz w:val="28"/>
          <w:szCs w:val="28"/>
          <w:rtl/>
        </w:rPr>
        <w:t>תש</w:t>
      </w:r>
      <w:r>
        <w:rPr>
          <w:rFonts w:ascii="David" w:eastAsia="Times New Roman" w:hAnsi="David" w:cs="David" w:hint="cs"/>
          <w:sz w:val="28"/>
          <w:szCs w:val="28"/>
          <w:rtl/>
        </w:rPr>
        <w:t>לום באופן ישיר וברור ל</w:t>
      </w:r>
      <w:r w:rsidR="00FB39C5">
        <w:rPr>
          <w:rFonts w:ascii="David" w:eastAsia="Times New Roman" w:hAnsi="David" w:cs="David" w:hint="cs"/>
          <w:sz w:val="28"/>
          <w:szCs w:val="28"/>
          <w:rtl/>
        </w:rPr>
        <w:t>עסקת יעדים</w:t>
      </w:r>
      <w:r>
        <w:rPr>
          <w:rFonts w:ascii="David" w:eastAsia="Times New Roman" w:hAnsi="David" w:cs="David" w:hint="cs"/>
          <w:sz w:val="28"/>
          <w:szCs w:val="28"/>
          <w:rtl/>
        </w:rPr>
        <w:t xml:space="preserve"> אלא שהוא אף חייב את פעולת התיווך העתידי בפרויקט ע"י המערער 2 בכך </w:t>
      </w:r>
      <w:proofErr w:type="spellStart"/>
      <w:r>
        <w:rPr>
          <w:rFonts w:ascii="David" w:eastAsia="Times New Roman" w:hAnsi="David" w:cs="David" w:hint="cs"/>
          <w:sz w:val="28"/>
          <w:szCs w:val="28"/>
          <w:rtl/>
        </w:rPr>
        <w:t>שצוי</w:t>
      </w:r>
      <w:r w:rsidR="00A20C87">
        <w:rPr>
          <w:rFonts w:ascii="David" w:eastAsia="Times New Roman" w:hAnsi="David" w:cs="David" w:hint="cs"/>
          <w:sz w:val="28"/>
          <w:szCs w:val="28"/>
          <w:rtl/>
        </w:rPr>
        <w:t>י</w:t>
      </w:r>
      <w:r>
        <w:rPr>
          <w:rFonts w:ascii="David" w:eastAsia="Times New Roman" w:hAnsi="David" w:cs="David" w:hint="cs"/>
          <w:sz w:val="28"/>
          <w:szCs w:val="28"/>
          <w:rtl/>
        </w:rPr>
        <w:t>ן</w:t>
      </w:r>
      <w:proofErr w:type="spellEnd"/>
      <w:r>
        <w:rPr>
          <w:rFonts w:ascii="David" w:eastAsia="Times New Roman" w:hAnsi="David" w:cs="David" w:hint="cs"/>
          <w:sz w:val="28"/>
          <w:szCs w:val="28"/>
          <w:rtl/>
        </w:rPr>
        <w:t xml:space="preserve"> </w:t>
      </w:r>
      <w:r w:rsidR="000E057F">
        <w:rPr>
          <w:rFonts w:ascii="David" w:eastAsia="Times New Roman" w:hAnsi="David" w:cs="David" w:hint="cs"/>
          <w:sz w:val="28"/>
          <w:szCs w:val="28"/>
          <w:rtl/>
        </w:rPr>
        <w:t xml:space="preserve">במפורש </w:t>
      </w:r>
      <w:r>
        <w:rPr>
          <w:rFonts w:ascii="David" w:eastAsia="Times New Roman" w:hAnsi="David" w:cs="David" w:hint="cs"/>
          <w:sz w:val="28"/>
          <w:szCs w:val="28"/>
          <w:rtl/>
        </w:rPr>
        <w:t>שמדובר בתשלום ראשון</w:t>
      </w:r>
      <w:r w:rsidR="000E057F">
        <w:rPr>
          <w:rFonts w:ascii="David" w:eastAsia="Times New Roman" w:hAnsi="David" w:cs="David" w:hint="cs"/>
          <w:sz w:val="28"/>
          <w:szCs w:val="28"/>
          <w:rtl/>
        </w:rPr>
        <w:t xml:space="preserve">. (משמע </w:t>
      </w:r>
      <w:r>
        <w:rPr>
          <w:rFonts w:ascii="David" w:eastAsia="Times New Roman" w:hAnsi="David" w:cs="David" w:hint="cs"/>
          <w:sz w:val="28"/>
          <w:szCs w:val="28"/>
          <w:rtl/>
        </w:rPr>
        <w:t>שאחריו יבואו תשלומים נוספים</w:t>
      </w:r>
      <w:r w:rsidR="000E057F">
        <w:rPr>
          <w:rFonts w:ascii="David" w:eastAsia="Times New Roman" w:hAnsi="David" w:cs="David" w:hint="cs"/>
          <w:sz w:val="28"/>
          <w:szCs w:val="28"/>
          <w:rtl/>
        </w:rPr>
        <w:t>)</w:t>
      </w:r>
      <w:r>
        <w:rPr>
          <w:rFonts w:ascii="David" w:eastAsia="Times New Roman" w:hAnsi="David" w:cs="David" w:hint="cs"/>
          <w:sz w:val="28"/>
          <w:szCs w:val="28"/>
          <w:rtl/>
        </w:rPr>
        <w:t>.</w:t>
      </w:r>
    </w:p>
    <w:p w14:paraId="7318A093" w14:textId="77777777" w:rsidR="00BF1B38" w:rsidRDefault="00BF1B38" w:rsidP="00BF1B38">
      <w:pPr>
        <w:pStyle w:val="a5"/>
        <w:shd w:val="clear" w:color="auto" w:fill="FFFFFF"/>
        <w:spacing w:after="0" w:line="360" w:lineRule="auto"/>
        <w:ind w:left="755"/>
        <w:jc w:val="both"/>
        <w:rPr>
          <w:rFonts w:ascii="David" w:eastAsia="Times New Roman" w:hAnsi="David" w:cs="David"/>
          <w:sz w:val="28"/>
          <w:szCs w:val="28"/>
        </w:rPr>
      </w:pPr>
    </w:p>
    <w:p w14:paraId="0448E67F" w14:textId="77777777" w:rsidR="000E057F" w:rsidRDefault="009C1EFD" w:rsidP="00CA14D9">
      <w:pPr>
        <w:pStyle w:val="a5"/>
        <w:numPr>
          <w:ilvl w:val="0"/>
          <w:numId w:val="22"/>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כבר בחודש יוני-יולי</w:t>
      </w:r>
      <w:r w:rsidR="000E057F">
        <w:rPr>
          <w:rFonts w:ascii="David" w:eastAsia="Times New Roman" w:hAnsi="David" w:cs="David" w:hint="cs"/>
          <w:sz w:val="28"/>
          <w:szCs w:val="28"/>
          <w:rtl/>
        </w:rPr>
        <w:t xml:space="preserve"> 2015</w:t>
      </w:r>
      <w:r>
        <w:rPr>
          <w:rFonts w:ascii="David" w:eastAsia="Times New Roman" w:hAnsi="David" w:cs="David" w:hint="cs"/>
          <w:sz w:val="28"/>
          <w:szCs w:val="28"/>
          <w:rtl/>
        </w:rPr>
        <w:t xml:space="preserve">, פנה דוידי לעורך הדין יפתח בן יעקב וביקשו להכין הסכם לשיווק </w:t>
      </w:r>
      <w:proofErr w:type="spellStart"/>
      <w:r>
        <w:rPr>
          <w:rFonts w:ascii="David" w:eastAsia="Times New Roman" w:hAnsi="David" w:cs="David" w:hint="cs"/>
          <w:sz w:val="28"/>
          <w:szCs w:val="28"/>
          <w:rtl/>
        </w:rPr>
        <w:t>פרוייקט</w:t>
      </w:r>
      <w:proofErr w:type="spellEnd"/>
      <w:r>
        <w:rPr>
          <w:rFonts w:ascii="David" w:eastAsia="Times New Roman" w:hAnsi="David" w:cs="David" w:hint="cs"/>
          <w:sz w:val="28"/>
          <w:szCs w:val="28"/>
          <w:rtl/>
        </w:rPr>
        <w:t xml:space="preserve"> י</w:t>
      </w:r>
      <w:r w:rsidR="001E452A">
        <w:rPr>
          <w:rFonts w:ascii="David" w:eastAsia="Times New Roman" w:hAnsi="David" w:cs="David" w:hint="cs"/>
          <w:sz w:val="28"/>
          <w:szCs w:val="28"/>
          <w:rtl/>
        </w:rPr>
        <w:t>ע</w:t>
      </w:r>
      <w:r>
        <w:rPr>
          <w:rFonts w:ascii="David" w:eastAsia="Times New Roman" w:hAnsi="David" w:cs="David" w:hint="cs"/>
          <w:sz w:val="28"/>
          <w:szCs w:val="28"/>
          <w:rtl/>
        </w:rPr>
        <w:t xml:space="preserve">דים בינו לבין מערער 2 ודרור </w:t>
      </w:r>
      <w:proofErr w:type="spellStart"/>
      <w:r>
        <w:rPr>
          <w:rFonts w:ascii="David" w:eastAsia="Times New Roman" w:hAnsi="David" w:cs="David" w:hint="cs"/>
          <w:sz w:val="28"/>
          <w:szCs w:val="28"/>
          <w:rtl/>
        </w:rPr>
        <w:t>אלמלם</w:t>
      </w:r>
      <w:proofErr w:type="spellEnd"/>
      <w:r>
        <w:rPr>
          <w:rFonts w:ascii="David" w:eastAsia="Times New Roman" w:hAnsi="David" w:cs="David" w:hint="cs"/>
          <w:sz w:val="28"/>
          <w:szCs w:val="28"/>
          <w:rtl/>
        </w:rPr>
        <w:t xml:space="preserve">. </w:t>
      </w:r>
      <w:r w:rsidR="000E057F">
        <w:rPr>
          <w:rFonts w:ascii="David" w:eastAsia="Times New Roman" w:hAnsi="David" w:cs="David" w:hint="cs"/>
          <w:sz w:val="28"/>
          <w:szCs w:val="28"/>
          <w:rtl/>
        </w:rPr>
        <w:t xml:space="preserve">בהסכם </w:t>
      </w:r>
      <w:proofErr w:type="spellStart"/>
      <w:r w:rsidR="000E057F">
        <w:rPr>
          <w:rFonts w:ascii="David" w:eastAsia="Times New Roman" w:hAnsi="David" w:cs="David" w:hint="cs"/>
          <w:sz w:val="28"/>
          <w:szCs w:val="28"/>
          <w:rtl/>
        </w:rPr>
        <w:t>צויין</w:t>
      </w:r>
      <w:proofErr w:type="spellEnd"/>
      <w:r w:rsidR="000E057F">
        <w:rPr>
          <w:rFonts w:ascii="David" w:eastAsia="Times New Roman" w:hAnsi="David" w:cs="David" w:hint="cs"/>
          <w:sz w:val="28"/>
          <w:szCs w:val="28"/>
          <w:rtl/>
        </w:rPr>
        <w:t xml:space="preserve"> במפורש כי סך של 150,000 ₪ ששולם למערער 2, יקוזז במלואו מעמלות השיווק שישולמו בעתיד, וכך בדיוק נעשה. </w:t>
      </w:r>
    </w:p>
    <w:p w14:paraId="00730F08" w14:textId="4C14B5C8" w:rsidR="009C1EFD" w:rsidRPr="000E057F" w:rsidRDefault="000E057F" w:rsidP="000E057F">
      <w:p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            </w:t>
      </w:r>
      <w:r w:rsidR="009C1EFD" w:rsidRPr="000E057F">
        <w:rPr>
          <w:rFonts w:ascii="David" w:eastAsia="Times New Roman" w:hAnsi="David" w:cs="David" w:hint="cs"/>
          <w:sz w:val="28"/>
          <w:szCs w:val="28"/>
          <w:rtl/>
        </w:rPr>
        <w:t xml:space="preserve">אין זאת אלא </w:t>
      </w:r>
      <w:r w:rsidRPr="000E057F">
        <w:rPr>
          <w:rFonts w:ascii="David" w:eastAsia="Times New Roman" w:hAnsi="David" w:cs="David" w:hint="cs"/>
          <w:sz w:val="28"/>
          <w:szCs w:val="28"/>
          <w:rtl/>
        </w:rPr>
        <w:t xml:space="preserve">שאכן מדובר </w:t>
      </w:r>
      <w:r w:rsidR="009C1EFD" w:rsidRPr="000E057F">
        <w:rPr>
          <w:rFonts w:ascii="David" w:eastAsia="Times New Roman" w:hAnsi="David" w:cs="David" w:hint="cs"/>
          <w:sz w:val="28"/>
          <w:szCs w:val="28"/>
          <w:rtl/>
        </w:rPr>
        <w:t>ב</w:t>
      </w:r>
      <w:r w:rsidR="001E452A" w:rsidRPr="000E057F">
        <w:rPr>
          <w:rFonts w:ascii="David" w:eastAsia="Times New Roman" w:hAnsi="David" w:cs="David" w:hint="cs"/>
          <w:sz w:val="28"/>
          <w:szCs w:val="28"/>
          <w:rtl/>
        </w:rPr>
        <w:t>עסקת</w:t>
      </w:r>
      <w:r w:rsidR="009C1EFD" w:rsidRPr="000E057F">
        <w:rPr>
          <w:rFonts w:ascii="David" w:eastAsia="Times New Roman" w:hAnsi="David" w:cs="David" w:hint="cs"/>
          <w:sz w:val="28"/>
          <w:szCs w:val="28"/>
          <w:rtl/>
        </w:rPr>
        <w:t xml:space="preserve"> אמת.</w:t>
      </w:r>
    </w:p>
    <w:p w14:paraId="12B42138" w14:textId="77777777" w:rsidR="00BF1B38" w:rsidRPr="00BF1B38" w:rsidRDefault="00BF1B38" w:rsidP="00BF1B38">
      <w:pPr>
        <w:shd w:val="clear" w:color="auto" w:fill="FFFFFF"/>
        <w:spacing w:after="0" w:line="360" w:lineRule="auto"/>
        <w:jc w:val="both"/>
        <w:rPr>
          <w:rFonts w:ascii="David" w:eastAsia="Times New Roman" w:hAnsi="David" w:cs="David"/>
          <w:sz w:val="28"/>
          <w:szCs w:val="28"/>
        </w:rPr>
      </w:pPr>
    </w:p>
    <w:p w14:paraId="04FFACA5" w14:textId="0D00CFF7" w:rsidR="00E62759" w:rsidRDefault="00E62759" w:rsidP="003B1ABF">
      <w:pPr>
        <w:pStyle w:val="a5"/>
        <w:numPr>
          <w:ilvl w:val="0"/>
          <w:numId w:val="22"/>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הפרויקט ש</w:t>
      </w:r>
      <w:r w:rsidR="000E057F">
        <w:rPr>
          <w:rFonts w:ascii="David" w:eastAsia="Times New Roman" w:hAnsi="David" w:cs="David" w:hint="cs"/>
          <w:sz w:val="28"/>
          <w:szCs w:val="28"/>
          <w:rtl/>
        </w:rPr>
        <w:t>ו</w:t>
      </w:r>
      <w:r>
        <w:rPr>
          <w:rFonts w:ascii="David" w:eastAsia="Times New Roman" w:hAnsi="David" w:cs="David" w:hint="cs"/>
          <w:sz w:val="28"/>
          <w:szCs w:val="28"/>
          <w:rtl/>
        </w:rPr>
        <w:t xml:space="preserve">וק בפועל ע"י מערער 2 בשיתוף עם דרור </w:t>
      </w:r>
      <w:proofErr w:type="spellStart"/>
      <w:r>
        <w:rPr>
          <w:rFonts w:ascii="David" w:eastAsia="Times New Roman" w:hAnsi="David" w:cs="David" w:hint="cs"/>
          <w:sz w:val="28"/>
          <w:szCs w:val="28"/>
          <w:rtl/>
        </w:rPr>
        <w:t>אלמלם</w:t>
      </w:r>
      <w:proofErr w:type="spellEnd"/>
      <w:r w:rsidR="000E057F">
        <w:rPr>
          <w:rFonts w:ascii="David" w:eastAsia="Times New Roman" w:hAnsi="David" w:cs="David" w:hint="cs"/>
          <w:sz w:val="28"/>
          <w:szCs w:val="28"/>
          <w:rtl/>
        </w:rPr>
        <w:t>.</w:t>
      </w:r>
      <w:r>
        <w:rPr>
          <w:rFonts w:ascii="David" w:eastAsia="Times New Roman" w:hAnsi="David" w:cs="David" w:hint="cs"/>
          <w:sz w:val="28"/>
          <w:szCs w:val="28"/>
          <w:rtl/>
        </w:rPr>
        <w:t xml:space="preserve"> מבחינ</w:t>
      </w:r>
      <w:r w:rsidR="000E057F">
        <w:rPr>
          <w:rFonts w:ascii="David" w:eastAsia="Times New Roman" w:hAnsi="David" w:cs="David" w:hint="cs"/>
          <w:sz w:val="28"/>
          <w:szCs w:val="28"/>
          <w:rtl/>
        </w:rPr>
        <w:t>ה</w:t>
      </w:r>
      <w:r>
        <w:rPr>
          <w:rFonts w:ascii="David" w:eastAsia="Times New Roman" w:hAnsi="David" w:cs="David" w:hint="cs"/>
          <w:sz w:val="28"/>
          <w:szCs w:val="28"/>
          <w:rtl/>
        </w:rPr>
        <w:t xml:space="preserve"> זו מהווה הדבר ראייה משמעותית בבחינת</w:t>
      </w:r>
      <w:r w:rsidR="000E057F">
        <w:rPr>
          <w:rFonts w:ascii="David" w:eastAsia="Times New Roman" w:hAnsi="David" w:cs="David" w:hint="cs"/>
          <w:sz w:val="28"/>
          <w:szCs w:val="28"/>
          <w:rtl/>
        </w:rPr>
        <w:t xml:space="preserve"> "</w:t>
      </w:r>
      <w:r>
        <w:rPr>
          <w:rFonts w:ascii="David" w:eastAsia="Times New Roman" w:hAnsi="David" w:cs="David" w:hint="cs"/>
          <w:sz w:val="28"/>
          <w:szCs w:val="28"/>
          <w:rtl/>
        </w:rPr>
        <w:t>סוף דבר מעיד על ראשית</w:t>
      </w:r>
      <w:r w:rsidR="000E057F">
        <w:rPr>
          <w:rFonts w:ascii="David" w:eastAsia="Times New Roman" w:hAnsi="David" w:cs="David" w:hint="cs"/>
          <w:sz w:val="28"/>
          <w:szCs w:val="28"/>
          <w:rtl/>
        </w:rPr>
        <w:t>ו</w:t>
      </w:r>
      <w:r>
        <w:rPr>
          <w:rFonts w:ascii="David" w:eastAsia="Times New Roman" w:hAnsi="David" w:cs="David" w:hint="cs"/>
          <w:sz w:val="28"/>
          <w:szCs w:val="28"/>
          <w:rtl/>
        </w:rPr>
        <w:t>". יתירה מזו, לאורך כל הדרך עד לשיווק הפרויקט בפועל</w:t>
      </w:r>
      <w:r w:rsidR="000E057F">
        <w:rPr>
          <w:rFonts w:ascii="David" w:eastAsia="Times New Roman" w:hAnsi="David" w:cs="David" w:hint="cs"/>
          <w:sz w:val="28"/>
          <w:szCs w:val="28"/>
          <w:rtl/>
        </w:rPr>
        <w:t>,</w:t>
      </w:r>
      <w:r>
        <w:rPr>
          <w:rFonts w:ascii="David" w:eastAsia="Times New Roman" w:hAnsi="David" w:cs="David" w:hint="cs"/>
          <w:sz w:val="28"/>
          <w:szCs w:val="28"/>
          <w:rtl/>
        </w:rPr>
        <w:t xml:space="preserve"> לא פנה דוידי לאף מתווך </w:t>
      </w:r>
      <w:r w:rsidR="000E057F">
        <w:rPr>
          <w:rFonts w:ascii="David" w:eastAsia="Times New Roman" w:hAnsi="David" w:cs="David" w:hint="cs"/>
          <w:sz w:val="28"/>
          <w:szCs w:val="28"/>
          <w:rtl/>
        </w:rPr>
        <w:t xml:space="preserve">אחר. גם ראיה </w:t>
      </w:r>
      <w:r w:rsidRPr="003B1ABF">
        <w:rPr>
          <w:rFonts w:ascii="David" w:eastAsia="Times New Roman" w:hAnsi="David" w:cs="David" w:hint="cs"/>
          <w:sz w:val="28"/>
          <w:szCs w:val="28"/>
          <w:rtl/>
        </w:rPr>
        <w:t>שלילית זו מהווה חיזוק לכך ש</w:t>
      </w:r>
      <w:r w:rsidR="00FB39C5">
        <w:rPr>
          <w:rFonts w:ascii="David" w:eastAsia="Times New Roman" w:hAnsi="David" w:cs="David" w:hint="cs"/>
          <w:sz w:val="28"/>
          <w:szCs w:val="28"/>
          <w:rtl/>
        </w:rPr>
        <w:t>עסקת יעדים</w:t>
      </w:r>
      <w:r w:rsidRPr="003B1ABF">
        <w:rPr>
          <w:rFonts w:ascii="David" w:eastAsia="Times New Roman" w:hAnsi="David" w:cs="David" w:hint="cs"/>
          <w:sz w:val="28"/>
          <w:szCs w:val="28"/>
          <w:rtl/>
        </w:rPr>
        <w:t xml:space="preserve"> הי</w:t>
      </w:r>
      <w:r w:rsidR="001E452A">
        <w:rPr>
          <w:rFonts w:ascii="David" w:eastAsia="Times New Roman" w:hAnsi="David" w:cs="David" w:hint="cs"/>
          <w:sz w:val="28"/>
          <w:szCs w:val="28"/>
          <w:rtl/>
        </w:rPr>
        <w:t>י</w:t>
      </w:r>
      <w:r w:rsidRPr="003B1ABF">
        <w:rPr>
          <w:rFonts w:ascii="David" w:eastAsia="Times New Roman" w:hAnsi="David" w:cs="David" w:hint="cs"/>
          <w:sz w:val="28"/>
          <w:szCs w:val="28"/>
          <w:rtl/>
        </w:rPr>
        <w:t xml:space="preserve">תה </w:t>
      </w:r>
      <w:r w:rsidR="001E452A">
        <w:rPr>
          <w:rFonts w:ascii="David" w:eastAsia="Times New Roman" w:hAnsi="David" w:cs="David" w:hint="cs"/>
          <w:sz w:val="28"/>
          <w:szCs w:val="28"/>
          <w:rtl/>
        </w:rPr>
        <w:t>עסקת</w:t>
      </w:r>
      <w:r w:rsidRPr="003B1ABF">
        <w:rPr>
          <w:rFonts w:ascii="David" w:eastAsia="Times New Roman" w:hAnsi="David" w:cs="David" w:hint="cs"/>
          <w:sz w:val="28"/>
          <w:szCs w:val="28"/>
          <w:rtl/>
        </w:rPr>
        <w:t xml:space="preserve"> תיווך אמיתית בין דוידי למערער 2 בשיתוף דרור </w:t>
      </w:r>
      <w:proofErr w:type="spellStart"/>
      <w:r w:rsidRPr="003B1ABF">
        <w:rPr>
          <w:rFonts w:ascii="David" w:eastAsia="Times New Roman" w:hAnsi="David" w:cs="David" w:hint="cs"/>
          <w:sz w:val="28"/>
          <w:szCs w:val="28"/>
          <w:rtl/>
        </w:rPr>
        <w:t>אלמלם</w:t>
      </w:r>
      <w:proofErr w:type="spellEnd"/>
      <w:r w:rsidRPr="003B1ABF">
        <w:rPr>
          <w:rFonts w:ascii="David" w:eastAsia="Times New Roman" w:hAnsi="David" w:cs="David" w:hint="cs"/>
          <w:sz w:val="28"/>
          <w:szCs w:val="28"/>
          <w:rtl/>
        </w:rPr>
        <w:t>.</w:t>
      </w:r>
    </w:p>
    <w:p w14:paraId="62020F7F" w14:textId="77777777" w:rsidR="00BF1B38" w:rsidRPr="00BF1B38" w:rsidRDefault="00BF1B38" w:rsidP="00BF1B38">
      <w:pPr>
        <w:shd w:val="clear" w:color="auto" w:fill="FFFFFF"/>
        <w:spacing w:after="0" w:line="360" w:lineRule="auto"/>
        <w:jc w:val="both"/>
        <w:rPr>
          <w:rFonts w:ascii="David" w:eastAsia="Times New Roman" w:hAnsi="David" w:cs="David"/>
          <w:sz w:val="28"/>
          <w:szCs w:val="28"/>
        </w:rPr>
      </w:pPr>
    </w:p>
    <w:p w14:paraId="0861B5B7" w14:textId="77777777" w:rsidR="00837510" w:rsidRDefault="001E452A" w:rsidP="003B1ABF">
      <w:pPr>
        <w:pStyle w:val="a5"/>
        <w:numPr>
          <w:ilvl w:val="0"/>
          <w:numId w:val="22"/>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עסקת</w:t>
      </w:r>
      <w:r w:rsidR="003B1ABF">
        <w:rPr>
          <w:rFonts w:ascii="David" w:eastAsia="Times New Roman" w:hAnsi="David" w:cs="David" w:hint="cs"/>
          <w:sz w:val="28"/>
          <w:szCs w:val="28"/>
          <w:rtl/>
        </w:rPr>
        <w:t xml:space="preserve"> התיווך </w:t>
      </w:r>
      <w:proofErr w:type="spellStart"/>
      <w:r w:rsidR="003B1ABF">
        <w:rPr>
          <w:rFonts w:ascii="David" w:eastAsia="Times New Roman" w:hAnsi="David" w:cs="David" w:hint="cs"/>
          <w:sz w:val="28"/>
          <w:szCs w:val="28"/>
          <w:rtl/>
        </w:rPr>
        <w:t>בפרוייקט</w:t>
      </w:r>
      <w:proofErr w:type="spellEnd"/>
      <w:r w:rsidR="003B1ABF">
        <w:rPr>
          <w:rFonts w:ascii="David" w:eastAsia="Times New Roman" w:hAnsi="David" w:cs="David" w:hint="cs"/>
          <w:sz w:val="28"/>
          <w:szCs w:val="28"/>
          <w:rtl/>
        </w:rPr>
        <w:t xml:space="preserve"> י</w:t>
      </w:r>
      <w:r>
        <w:rPr>
          <w:rFonts w:ascii="David" w:eastAsia="Times New Roman" w:hAnsi="David" w:cs="David" w:hint="cs"/>
          <w:sz w:val="28"/>
          <w:szCs w:val="28"/>
          <w:rtl/>
        </w:rPr>
        <w:t>ע</w:t>
      </w:r>
      <w:r w:rsidR="003B1ABF">
        <w:rPr>
          <w:rFonts w:ascii="David" w:eastAsia="Times New Roman" w:hAnsi="David" w:cs="David" w:hint="cs"/>
          <w:sz w:val="28"/>
          <w:szCs w:val="28"/>
          <w:rtl/>
        </w:rPr>
        <w:t>דים לא באה לאולם בחלל ריק</w:t>
      </w:r>
      <w:r w:rsidR="000E057F">
        <w:rPr>
          <w:rFonts w:ascii="David" w:eastAsia="Times New Roman" w:hAnsi="David" w:cs="David" w:hint="cs"/>
          <w:sz w:val="28"/>
          <w:szCs w:val="28"/>
          <w:rtl/>
        </w:rPr>
        <w:t>.</w:t>
      </w:r>
      <w:r w:rsidR="003B1ABF">
        <w:rPr>
          <w:rFonts w:ascii="David" w:eastAsia="Times New Roman" w:hAnsi="David" w:cs="David" w:hint="cs"/>
          <w:sz w:val="28"/>
          <w:szCs w:val="28"/>
          <w:rtl/>
        </w:rPr>
        <w:t xml:space="preserve"> לפניה</w:t>
      </w:r>
      <w:r w:rsidR="000E057F">
        <w:rPr>
          <w:rFonts w:ascii="David" w:eastAsia="Times New Roman" w:hAnsi="David" w:cs="David" w:hint="cs"/>
          <w:sz w:val="28"/>
          <w:szCs w:val="28"/>
          <w:rtl/>
        </w:rPr>
        <w:t xml:space="preserve"> נערכו 12</w:t>
      </w:r>
      <w:r w:rsidR="003B1ABF">
        <w:rPr>
          <w:rFonts w:ascii="David" w:eastAsia="Times New Roman" w:hAnsi="David" w:cs="David" w:hint="cs"/>
          <w:sz w:val="28"/>
          <w:szCs w:val="28"/>
          <w:rtl/>
        </w:rPr>
        <w:t xml:space="preserve"> עסקאות תיווך מוכחות בין דוידי למערער 2. </w:t>
      </w:r>
      <w:r w:rsidR="00CA5BB9">
        <w:rPr>
          <w:rFonts w:ascii="David" w:eastAsia="Times New Roman" w:hAnsi="David" w:cs="David" w:hint="cs"/>
          <w:sz w:val="28"/>
          <w:szCs w:val="28"/>
          <w:rtl/>
        </w:rPr>
        <w:t>חשוב להדגיש כי עד ל</w:t>
      </w:r>
      <w:r w:rsidR="00FB39C5">
        <w:rPr>
          <w:rFonts w:ascii="David" w:eastAsia="Times New Roman" w:hAnsi="David" w:cs="David" w:hint="cs"/>
          <w:sz w:val="28"/>
          <w:szCs w:val="28"/>
          <w:rtl/>
        </w:rPr>
        <w:t>עסקת יעדים</w:t>
      </w:r>
      <w:r w:rsidR="00CA5BB9">
        <w:rPr>
          <w:rFonts w:ascii="David" w:eastAsia="Times New Roman" w:hAnsi="David" w:cs="David" w:hint="cs"/>
          <w:sz w:val="28"/>
          <w:szCs w:val="28"/>
          <w:rtl/>
        </w:rPr>
        <w:t xml:space="preserve"> יחסי העבודה בין דוידי למערער</w:t>
      </w:r>
      <w:r w:rsidR="000E057F">
        <w:rPr>
          <w:rFonts w:ascii="David" w:eastAsia="Times New Roman" w:hAnsi="David" w:cs="David" w:hint="cs"/>
          <w:sz w:val="28"/>
          <w:szCs w:val="28"/>
          <w:rtl/>
        </w:rPr>
        <w:t xml:space="preserve"> 2</w:t>
      </w:r>
      <w:r w:rsidR="00CA5BB9">
        <w:rPr>
          <w:rFonts w:ascii="David" w:eastAsia="Times New Roman" w:hAnsi="David" w:cs="David" w:hint="cs"/>
          <w:sz w:val="28"/>
          <w:szCs w:val="28"/>
          <w:rtl/>
        </w:rPr>
        <w:t xml:space="preserve"> התאפי</w:t>
      </w:r>
      <w:r w:rsidR="000E057F">
        <w:rPr>
          <w:rFonts w:ascii="David" w:eastAsia="Times New Roman" w:hAnsi="David" w:cs="David" w:hint="cs"/>
          <w:sz w:val="28"/>
          <w:szCs w:val="28"/>
          <w:rtl/>
        </w:rPr>
        <w:t>י</w:t>
      </w:r>
      <w:r w:rsidR="00CA5BB9">
        <w:rPr>
          <w:rFonts w:ascii="David" w:eastAsia="Times New Roman" w:hAnsi="David" w:cs="David" w:hint="cs"/>
          <w:sz w:val="28"/>
          <w:szCs w:val="28"/>
          <w:rtl/>
        </w:rPr>
        <w:t>נו בחד צדדיות גמורה במובן זה שמערער 2 היה זה שסיפק לקוחות ופרויקטים לדוידי</w:t>
      </w:r>
      <w:r w:rsidR="00837510">
        <w:rPr>
          <w:rFonts w:ascii="David" w:eastAsia="Times New Roman" w:hAnsi="David" w:cs="David" w:hint="cs"/>
          <w:sz w:val="28"/>
          <w:szCs w:val="28"/>
          <w:rtl/>
        </w:rPr>
        <w:t>.</w:t>
      </w:r>
      <w:r w:rsidR="00CA5BB9">
        <w:rPr>
          <w:rFonts w:ascii="David" w:eastAsia="Times New Roman" w:hAnsi="David" w:cs="David" w:hint="cs"/>
          <w:sz w:val="28"/>
          <w:szCs w:val="28"/>
          <w:rtl/>
        </w:rPr>
        <w:t xml:space="preserve"> מערער 2 עשה כך תוך שהוא נותן בלעדיות לדוידי ומציע פרויקטים משתלמים</w:t>
      </w:r>
      <w:r w:rsidR="00837510">
        <w:rPr>
          <w:rFonts w:ascii="David" w:eastAsia="Times New Roman" w:hAnsi="David" w:cs="David" w:hint="cs"/>
          <w:sz w:val="28"/>
          <w:szCs w:val="28"/>
          <w:rtl/>
        </w:rPr>
        <w:t xml:space="preserve"> רק</w:t>
      </w:r>
      <w:r w:rsidR="00CA5BB9">
        <w:rPr>
          <w:rFonts w:ascii="David" w:eastAsia="Times New Roman" w:hAnsi="David" w:cs="David" w:hint="cs"/>
          <w:sz w:val="28"/>
          <w:szCs w:val="28"/>
          <w:rtl/>
        </w:rPr>
        <w:t xml:space="preserve"> לדוידי ולא </w:t>
      </w:r>
      <w:r w:rsidR="00CA5BB9">
        <w:rPr>
          <w:rFonts w:ascii="David" w:eastAsia="Times New Roman" w:hAnsi="David" w:cs="David" w:hint="cs"/>
          <w:sz w:val="28"/>
          <w:szCs w:val="28"/>
          <w:rtl/>
        </w:rPr>
        <w:lastRenderedPageBreak/>
        <w:t>ליזמים אחרים, גם כאשר יכול היה לקבל דמי תיווך גבוהים יותר מיזמים אחרים.</w:t>
      </w:r>
      <w:r w:rsidR="00D83203">
        <w:rPr>
          <w:rFonts w:ascii="David" w:eastAsia="Times New Roman" w:hAnsi="David" w:cs="David" w:hint="cs"/>
          <w:sz w:val="28"/>
          <w:szCs w:val="28"/>
          <w:rtl/>
        </w:rPr>
        <w:t xml:space="preserve"> </w:t>
      </w:r>
    </w:p>
    <w:p w14:paraId="2784F02B" w14:textId="77777777" w:rsidR="00837510" w:rsidRPr="00837510" w:rsidRDefault="00837510" w:rsidP="00837510">
      <w:pPr>
        <w:pStyle w:val="a5"/>
        <w:rPr>
          <w:rFonts w:ascii="David" w:eastAsia="Times New Roman" w:hAnsi="David" w:cs="David"/>
          <w:sz w:val="28"/>
          <w:szCs w:val="28"/>
          <w:rtl/>
        </w:rPr>
      </w:pPr>
    </w:p>
    <w:p w14:paraId="3618FB52" w14:textId="77777777" w:rsidR="00837510" w:rsidRDefault="00CA5BB9" w:rsidP="00837510">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t xml:space="preserve">לפיכך שורת ההגינות האנושית בשילוב </w:t>
      </w:r>
      <w:proofErr w:type="spellStart"/>
      <w:r>
        <w:rPr>
          <w:rFonts w:ascii="David" w:eastAsia="Times New Roman" w:hAnsi="David" w:cs="David" w:hint="cs"/>
          <w:sz w:val="28"/>
          <w:szCs w:val="28"/>
          <w:rtl/>
        </w:rPr>
        <w:t>ההגיון</w:t>
      </w:r>
      <w:proofErr w:type="spellEnd"/>
      <w:r>
        <w:rPr>
          <w:rFonts w:ascii="David" w:eastAsia="Times New Roman" w:hAnsi="David" w:cs="David" w:hint="cs"/>
          <w:sz w:val="28"/>
          <w:szCs w:val="28"/>
          <w:rtl/>
        </w:rPr>
        <w:t xml:space="preserve"> </w:t>
      </w:r>
      <w:proofErr w:type="spellStart"/>
      <w:r>
        <w:rPr>
          <w:rFonts w:ascii="David" w:eastAsia="Times New Roman" w:hAnsi="David" w:cs="David" w:hint="cs"/>
          <w:sz w:val="28"/>
          <w:szCs w:val="28"/>
          <w:rtl/>
        </w:rPr>
        <w:t>העיסקי</w:t>
      </w:r>
      <w:proofErr w:type="spellEnd"/>
      <w:r>
        <w:rPr>
          <w:rFonts w:ascii="David" w:eastAsia="Times New Roman" w:hAnsi="David" w:cs="David" w:hint="cs"/>
          <w:sz w:val="28"/>
          <w:szCs w:val="28"/>
          <w:rtl/>
        </w:rPr>
        <w:t xml:space="preserve"> הצדיקה מאוד את הכרת הטוב מצד דוידי כלפי המערער 2 בכך שזו הפע</w:t>
      </w:r>
      <w:r w:rsidR="00D83203">
        <w:rPr>
          <w:rFonts w:ascii="David" w:eastAsia="Times New Roman" w:hAnsi="David" w:cs="David" w:hint="cs"/>
          <w:sz w:val="28"/>
          <w:szCs w:val="28"/>
          <w:rtl/>
        </w:rPr>
        <w:t>ם</w:t>
      </w:r>
      <w:r>
        <w:rPr>
          <w:rFonts w:ascii="David" w:eastAsia="Times New Roman" w:hAnsi="David" w:cs="David" w:hint="cs"/>
          <w:sz w:val="28"/>
          <w:szCs w:val="28"/>
          <w:rtl/>
        </w:rPr>
        <w:t xml:space="preserve"> הוא</w:t>
      </w:r>
      <w:r w:rsidR="00837510">
        <w:rPr>
          <w:rFonts w:ascii="David" w:eastAsia="Times New Roman" w:hAnsi="David" w:cs="David" w:hint="cs"/>
          <w:sz w:val="28"/>
          <w:szCs w:val="28"/>
          <w:rtl/>
        </w:rPr>
        <w:t xml:space="preserve"> יגמול טובה</w:t>
      </w:r>
      <w:r>
        <w:rPr>
          <w:rFonts w:ascii="David" w:eastAsia="Times New Roman" w:hAnsi="David" w:cs="David" w:hint="cs"/>
          <w:sz w:val="28"/>
          <w:szCs w:val="28"/>
          <w:rtl/>
        </w:rPr>
        <w:t xml:space="preserve"> עם המערער 2 ו</w:t>
      </w:r>
      <w:r w:rsidR="00837510">
        <w:rPr>
          <w:rFonts w:ascii="David" w:eastAsia="Times New Roman" w:hAnsi="David" w:cs="David" w:hint="cs"/>
          <w:sz w:val="28"/>
          <w:szCs w:val="28"/>
          <w:rtl/>
        </w:rPr>
        <w:t>י</w:t>
      </w:r>
      <w:r>
        <w:rPr>
          <w:rFonts w:ascii="David" w:eastAsia="Times New Roman" w:hAnsi="David" w:cs="David" w:hint="cs"/>
          <w:sz w:val="28"/>
          <w:szCs w:val="28"/>
          <w:rtl/>
        </w:rPr>
        <w:t xml:space="preserve">ספק לו עבודה תוך שהוא מבטיח את כדאיות ההתקשרות העסקית עימו בכך שמתווך ותיק ומנוסה </w:t>
      </w:r>
      <w:proofErr w:type="spellStart"/>
      <w:r>
        <w:rPr>
          <w:rFonts w:ascii="David" w:eastAsia="Times New Roman" w:hAnsi="David" w:cs="David" w:hint="cs"/>
          <w:sz w:val="28"/>
          <w:szCs w:val="28"/>
          <w:rtl/>
        </w:rPr>
        <w:t>ייצטרף</w:t>
      </w:r>
      <w:proofErr w:type="spellEnd"/>
      <w:r>
        <w:rPr>
          <w:rFonts w:ascii="David" w:eastAsia="Times New Roman" w:hAnsi="David" w:cs="David" w:hint="cs"/>
          <w:sz w:val="28"/>
          <w:szCs w:val="28"/>
          <w:rtl/>
        </w:rPr>
        <w:t xml:space="preserve"> אל מערער 2</w:t>
      </w:r>
      <w:r w:rsidR="00837510">
        <w:rPr>
          <w:rFonts w:ascii="David" w:eastAsia="Times New Roman" w:hAnsi="David" w:cs="David" w:hint="cs"/>
          <w:sz w:val="28"/>
          <w:szCs w:val="28"/>
          <w:rtl/>
        </w:rPr>
        <w:t>.</w:t>
      </w:r>
      <w:r>
        <w:rPr>
          <w:rFonts w:ascii="David" w:eastAsia="Times New Roman" w:hAnsi="David" w:cs="David" w:hint="cs"/>
          <w:sz w:val="28"/>
          <w:szCs w:val="28"/>
          <w:rtl/>
        </w:rPr>
        <w:t xml:space="preserve"> </w:t>
      </w:r>
    </w:p>
    <w:p w14:paraId="5D9C08B4" w14:textId="5ABB61A4" w:rsidR="003B1ABF" w:rsidRDefault="00D83203" w:rsidP="00837510">
      <w:pPr>
        <w:pStyle w:val="a5"/>
        <w:shd w:val="clear" w:color="auto" w:fill="FFFFFF"/>
        <w:spacing w:after="0" w:line="360" w:lineRule="auto"/>
        <w:ind w:left="755"/>
        <w:jc w:val="both"/>
        <w:rPr>
          <w:rFonts w:ascii="David" w:eastAsia="Times New Roman" w:hAnsi="David" w:cs="David"/>
          <w:sz w:val="28"/>
          <w:szCs w:val="28"/>
        </w:rPr>
      </w:pPr>
      <w:r>
        <w:rPr>
          <w:rFonts w:ascii="David" w:eastAsia="Times New Roman" w:hAnsi="David" w:cs="David" w:hint="cs"/>
          <w:sz w:val="28"/>
          <w:szCs w:val="28"/>
          <w:rtl/>
        </w:rPr>
        <w:t>בית המשפט קמא הכניס ראשו לשיקולים עסקיים שונים שלפי השקפתו אינם מתי</w:t>
      </w:r>
      <w:r w:rsidR="00837510">
        <w:rPr>
          <w:rFonts w:ascii="David" w:eastAsia="Times New Roman" w:hAnsi="David" w:cs="David" w:hint="cs"/>
          <w:sz w:val="28"/>
          <w:szCs w:val="28"/>
          <w:rtl/>
        </w:rPr>
        <w:t>י</w:t>
      </w:r>
      <w:r>
        <w:rPr>
          <w:rFonts w:ascii="David" w:eastAsia="Times New Roman" w:hAnsi="David" w:cs="David" w:hint="cs"/>
          <w:sz w:val="28"/>
          <w:szCs w:val="28"/>
          <w:rtl/>
        </w:rPr>
        <w:t>שבים עם כדאיות ה</w:t>
      </w:r>
      <w:r w:rsidR="00FB39C5">
        <w:rPr>
          <w:rFonts w:ascii="David" w:eastAsia="Times New Roman" w:hAnsi="David" w:cs="David" w:hint="cs"/>
          <w:sz w:val="28"/>
          <w:szCs w:val="28"/>
          <w:rtl/>
        </w:rPr>
        <w:t>עסקה</w:t>
      </w:r>
      <w:r>
        <w:rPr>
          <w:rFonts w:ascii="David" w:eastAsia="Times New Roman" w:hAnsi="David" w:cs="David" w:hint="cs"/>
          <w:sz w:val="28"/>
          <w:szCs w:val="28"/>
          <w:rtl/>
        </w:rPr>
        <w:t xml:space="preserve"> </w:t>
      </w:r>
      <w:r w:rsidR="00837510">
        <w:rPr>
          <w:rFonts w:ascii="David" w:eastAsia="Times New Roman" w:hAnsi="David" w:cs="David" w:hint="cs"/>
          <w:sz w:val="28"/>
          <w:szCs w:val="28"/>
          <w:rtl/>
        </w:rPr>
        <w:t xml:space="preserve">עבור דוידי </w:t>
      </w:r>
      <w:r>
        <w:rPr>
          <w:rFonts w:ascii="David" w:eastAsia="Times New Roman" w:hAnsi="David" w:cs="David" w:hint="cs"/>
          <w:sz w:val="28"/>
          <w:szCs w:val="28"/>
          <w:rtl/>
        </w:rPr>
        <w:t>במוע</w:t>
      </w:r>
      <w:r w:rsidR="00837510">
        <w:rPr>
          <w:rFonts w:ascii="David" w:eastAsia="Times New Roman" w:hAnsi="David" w:cs="David" w:hint="cs"/>
          <w:sz w:val="28"/>
          <w:szCs w:val="28"/>
          <w:rtl/>
        </w:rPr>
        <w:t>ד</w:t>
      </w:r>
      <w:r>
        <w:rPr>
          <w:rFonts w:ascii="David" w:eastAsia="Times New Roman" w:hAnsi="David" w:cs="David" w:hint="cs"/>
          <w:sz w:val="28"/>
          <w:szCs w:val="28"/>
          <w:rtl/>
        </w:rPr>
        <w:t>ה ובתנאיה. בכל הכבוד הראוי</w:t>
      </w:r>
      <w:r w:rsidR="00837510">
        <w:rPr>
          <w:rFonts w:ascii="David" w:eastAsia="Times New Roman" w:hAnsi="David" w:cs="David" w:hint="cs"/>
          <w:sz w:val="28"/>
          <w:szCs w:val="28"/>
          <w:rtl/>
        </w:rPr>
        <w:t>,</w:t>
      </w:r>
      <w:r>
        <w:rPr>
          <w:rFonts w:ascii="David" w:eastAsia="Times New Roman" w:hAnsi="David" w:cs="David" w:hint="cs"/>
          <w:sz w:val="28"/>
          <w:szCs w:val="28"/>
          <w:rtl/>
        </w:rPr>
        <w:t xml:space="preserve"> שגה בכך בית המשפט קמא. המציאות מוכיחה שלעיתים אפילו אנשי עסקים שוקלים גם שיקולים חבריים אישיים וערכיים ולא תמיד רואים את חזות </w:t>
      </w:r>
      <w:proofErr w:type="spellStart"/>
      <w:r>
        <w:rPr>
          <w:rFonts w:ascii="David" w:eastAsia="Times New Roman" w:hAnsi="David" w:cs="David" w:hint="cs"/>
          <w:sz w:val="28"/>
          <w:szCs w:val="28"/>
          <w:rtl/>
        </w:rPr>
        <w:t>הכל</w:t>
      </w:r>
      <w:proofErr w:type="spellEnd"/>
      <w:r>
        <w:rPr>
          <w:rFonts w:ascii="David" w:eastAsia="Times New Roman" w:hAnsi="David" w:cs="David" w:hint="cs"/>
          <w:sz w:val="28"/>
          <w:szCs w:val="28"/>
          <w:rtl/>
        </w:rPr>
        <w:t xml:space="preserve"> בשיקולים עסקיים טהורים. כ</w:t>
      </w:r>
      <w:r w:rsidR="00837510">
        <w:rPr>
          <w:rFonts w:ascii="David" w:eastAsia="Times New Roman" w:hAnsi="David" w:cs="David" w:hint="cs"/>
          <w:sz w:val="28"/>
          <w:szCs w:val="28"/>
          <w:rtl/>
        </w:rPr>
        <w:t xml:space="preserve">ך </w:t>
      </w:r>
      <w:r>
        <w:rPr>
          <w:rFonts w:ascii="David" w:eastAsia="Times New Roman" w:hAnsi="David" w:cs="David" w:hint="cs"/>
          <w:sz w:val="28"/>
          <w:szCs w:val="28"/>
          <w:rtl/>
        </w:rPr>
        <w:t xml:space="preserve">היה בבירור </w:t>
      </w:r>
      <w:r w:rsidR="00837510">
        <w:rPr>
          <w:rFonts w:ascii="David" w:eastAsia="Times New Roman" w:hAnsi="David" w:cs="David" w:hint="cs"/>
          <w:sz w:val="28"/>
          <w:szCs w:val="28"/>
          <w:rtl/>
        </w:rPr>
        <w:t xml:space="preserve">גם </w:t>
      </w:r>
      <w:r>
        <w:rPr>
          <w:rFonts w:ascii="David" w:eastAsia="Times New Roman" w:hAnsi="David" w:cs="David" w:hint="cs"/>
          <w:sz w:val="28"/>
          <w:szCs w:val="28"/>
          <w:rtl/>
        </w:rPr>
        <w:t>במקרה שבפנינו כאשר,</w:t>
      </w:r>
      <w:r w:rsidR="00837510">
        <w:rPr>
          <w:rFonts w:ascii="David" w:eastAsia="Times New Roman" w:hAnsi="David" w:cs="David" w:hint="cs"/>
          <w:sz w:val="28"/>
          <w:szCs w:val="28"/>
          <w:rtl/>
        </w:rPr>
        <w:t xml:space="preserve"> </w:t>
      </w:r>
      <w:r>
        <w:rPr>
          <w:rFonts w:ascii="David" w:eastAsia="Times New Roman" w:hAnsi="David" w:cs="David" w:hint="cs"/>
          <w:sz w:val="28"/>
          <w:szCs w:val="28"/>
          <w:rtl/>
        </w:rPr>
        <w:t>גם השיקול העסקי של דוידי לא נגרע ולא נפגע.</w:t>
      </w:r>
    </w:p>
    <w:p w14:paraId="2461BA5D" w14:textId="77777777" w:rsidR="00BF1B38" w:rsidRDefault="00BF1B38" w:rsidP="00BF1B38">
      <w:pPr>
        <w:pStyle w:val="a5"/>
        <w:shd w:val="clear" w:color="auto" w:fill="FFFFFF"/>
        <w:spacing w:after="0" w:line="360" w:lineRule="auto"/>
        <w:ind w:left="755"/>
        <w:jc w:val="both"/>
        <w:rPr>
          <w:rFonts w:ascii="David" w:eastAsia="Times New Roman" w:hAnsi="David" w:cs="David"/>
          <w:sz w:val="28"/>
          <w:szCs w:val="28"/>
        </w:rPr>
      </w:pPr>
    </w:p>
    <w:p w14:paraId="226AC5A1" w14:textId="77777777" w:rsidR="00FD653E" w:rsidRDefault="00D83203" w:rsidP="003B1ABF">
      <w:pPr>
        <w:pStyle w:val="a5"/>
        <w:numPr>
          <w:ilvl w:val="0"/>
          <w:numId w:val="22"/>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ת</w:t>
      </w:r>
      <w:r w:rsidR="00FD653E">
        <w:rPr>
          <w:rFonts w:ascii="David" w:eastAsia="Times New Roman" w:hAnsi="David" w:cs="David" w:hint="cs"/>
          <w:sz w:val="28"/>
          <w:szCs w:val="28"/>
          <w:rtl/>
        </w:rPr>
        <w:t>זת</w:t>
      </w:r>
      <w:r>
        <w:rPr>
          <w:rFonts w:ascii="David" w:eastAsia="Times New Roman" w:hAnsi="David" w:cs="David" w:hint="cs"/>
          <w:sz w:val="28"/>
          <w:szCs w:val="28"/>
          <w:rtl/>
        </w:rPr>
        <w:t xml:space="preserve"> השוחד </w:t>
      </w:r>
      <w:proofErr w:type="spellStart"/>
      <w:r>
        <w:rPr>
          <w:rFonts w:ascii="David" w:eastAsia="Times New Roman" w:hAnsi="David" w:cs="David" w:hint="cs"/>
          <w:sz w:val="28"/>
          <w:szCs w:val="28"/>
          <w:rtl/>
        </w:rPr>
        <w:t>באיצטלא</w:t>
      </w:r>
      <w:proofErr w:type="spellEnd"/>
      <w:r>
        <w:rPr>
          <w:rFonts w:ascii="David" w:eastAsia="Times New Roman" w:hAnsi="David" w:cs="David" w:hint="cs"/>
          <w:sz w:val="28"/>
          <w:szCs w:val="28"/>
          <w:rtl/>
        </w:rPr>
        <w:t xml:space="preserve"> של תשלום דמי תיווך ממש קורסת בהינתן העובדה המוכחת שדוידי רשאי</w:t>
      </w:r>
      <w:r w:rsidR="00A41FFF">
        <w:rPr>
          <w:rFonts w:ascii="David" w:eastAsia="Times New Roman" w:hAnsi="David" w:cs="David" w:hint="cs"/>
          <w:sz w:val="28"/>
          <w:szCs w:val="28"/>
          <w:rtl/>
        </w:rPr>
        <w:t xml:space="preserve"> היה לשלם למערער 2 סכום נוסף שהוא אף גבוה מ </w:t>
      </w:r>
      <w:r w:rsidR="00A41FFF">
        <w:rPr>
          <w:rFonts w:ascii="David" w:eastAsia="Times New Roman" w:hAnsi="David" w:cs="David"/>
          <w:sz w:val="28"/>
          <w:szCs w:val="28"/>
          <w:rtl/>
        </w:rPr>
        <w:t>–</w:t>
      </w:r>
      <w:r w:rsidR="00A41FFF">
        <w:rPr>
          <w:rFonts w:ascii="David" w:eastAsia="Times New Roman" w:hAnsi="David" w:cs="David" w:hint="cs"/>
          <w:sz w:val="28"/>
          <w:szCs w:val="28"/>
          <w:rtl/>
        </w:rPr>
        <w:t xml:space="preserve"> 150,000 ₪ וזאת עבור עסקאות התיווך שבהן פעל מערער 2 ואשר בגינן קיבל מדוידי דמי תיווך נמוכים בהרבה מה</w:t>
      </w:r>
      <w:r w:rsidR="005968F1">
        <w:rPr>
          <w:rFonts w:ascii="David" w:eastAsia="Times New Roman" w:hAnsi="David" w:cs="David" w:hint="cs"/>
          <w:sz w:val="28"/>
          <w:szCs w:val="28"/>
          <w:rtl/>
        </w:rPr>
        <w:t>מ</w:t>
      </w:r>
      <w:r w:rsidR="00A41FFF">
        <w:rPr>
          <w:rFonts w:ascii="David" w:eastAsia="Times New Roman" w:hAnsi="David" w:cs="David" w:hint="cs"/>
          <w:sz w:val="28"/>
          <w:szCs w:val="28"/>
          <w:rtl/>
        </w:rPr>
        <w:t xml:space="preserve">קובל בשוק. </w:t>
      </w:r>
      <w:r w:rsidR="00A41FFF">
        <w:rPr>
          <w:rFonts w:ascii="David" w:eastAsia="Times New Roman" w:hAnsi="David" w:cs="David" w:hint="cs"/>
          <w:b/>
          <w:bCs/>
          <w:sz w:val="28"/>
          <w:szCs w:val="28"/>
          <w:rtl/>
        </w:rPr>
        <w:t xml:space="preserve">המדובר בעסקאות </w:t>
      </w:r>
      <w:r w:rsidR="005968F1">
        <w:rPr>
          <w:rFonts w:ascii="David" w:eastAsia="Times New Roman" w:hAnsi="David" w:cs="David" w:hint="cs"/>
          <w:b/>
          <w:bCs/>
          <w:sz w:val="28"/>
          <w:szCs w:val="28"/>
          <w:rtl/>
        </w:rPr>
        <w:t>א</w:t>
      </w:r>
      <w:r w:rsidR="00A41FFF">
        <w:rPr>
          <w:rFonts w:ascii="David" w:eastAsia="Times New Roman" w:hAnsi="David" w:cs="David" w:hint="cs"/>
          <w:b/>
          <w:bCs/>
          <w:sz w:val="28"/>
          <w:szCs w:val="28"/>
          <w:rtl/>
        </w:rPr>
        <w:t xml:space="preserve">מת שבוצעו הן לפני </w:t>
      </w:r>
      <w:r w:rsidR="00FB39C5">
        <w:rPr>
          <w:rFonts w:ascii="David" w:eastAsia="Times New Roman" w:hAnsi="David" w:cs="David" w:hint="cs"/>
          <w:b/>
          <w:bCs/>
          <w:sz w:val="28"/>
          <w:szCs w:val="28"/>
          <w:rtl/>
        </w:rPr>
        <w:t>עסקת יעדים</w:t>
      </w:r>
      <w:r w:rsidR="00A41FFF">
        <w:rPr>
          <w:rFonts w:ascii="David" w:eastAsia="Times New Roman" w:hAnsi="David" w:cs="David" w:hint="cs"/>
          <w:b/>
          <w:bCs/>
          <w:sz w:val="28"/>
          <w:szCs w:val="28"/>
          <w:rtl/>
        </w:rPr>
        <w:t xml:space="preserve"> והן לאחריה</w:t>
      </w:r>
      <w:r w:rsidR="00FD653E">
        <w:rPr>
          <w:rFonts w:ascii="David" w:eastAsia="Times New Roman" w:hAnsi="David" w:cs="David" w:hint="cs"/>
          <w:b/>
          <w:bCs/>
          <w:sz w:val="28"/>
          <w:szCs w:val="28"/>
          <w:rtl/>
        </w:rPr>
        <w:t>.</w:t>
      </w:r>
      <w:r w:rsidR="00A41FFF">
        <w:rPr>
          <w:rFonts w:ascii="David" w:eastAsia="Times New Roman" w:hAnsi="David" w:cs="David" w:hint="cs"/>
          <w:b/>
          <w:bCs/>
          <w:sz w:val="28"/>
          <w:szCs w:val="28"/>
          <w:rtl/>
        </w:rPr>
        <w:t xml:space="preserve"> </w:t>
      </w:r>
      <w:r w:rsidR="00A41FFF" w:rsidRPr="00FD653E">
        <w:rPr>
          <w:rFonts w:ascii="David" w:eastAsia="Times New Roman" w:hAnsi="David" w:cs="David" w:hint="cs"/>
          <w:sz w:val="28"/>
          <w:szCs w:val="28"/>
          <w:rtl/>
        </w:rPr>
        <w:t xml:space="preserve">לגביהן, העידו עדים מקצועיים שדמי התיווך הראויים, </w:t>
      </w:r>
      <w:r w:rsidR="00A41FFF" w:rsidRPr="00FD653E">
        <w:rPr>
          <w:rFonts w:ascii="David" w:eastAsia="Times New Roman" w:hAnsi="David" w:cs="David" w:hint="cs"/>
          <w:b/>
          <w:bCs/>
          <w:sz w:val="28"/>
          <w:szCs w:val="28"/>
          <w:rtl/>
        </w:rPr>
        <w:t>על פי הנוהג שבשוק,</w:t>
      </w:r>
      <w:r w:rsidR="00A41FFF" w:rsidRPr="00FD653E">
        <w:rPr>
          <w:rFonts w:ascii="David" w:eastAsia="Times New Roman" w:hAnsi="David" w:cs="David" w:hint="cs"/>
          <w:sz w:val="28"/>
          <w:szCs w:val="28"/>
          <w:rtl/>
        </w:rPr>
        <w:t xml:space="preserve"> </w:t>
      </w:r>
      <w:r w:rsidR="00A41FFF">
        <w:rPr>
          <w:rFonts w:ascii="David" w:eastAsia="Times New Roman" w:hAnsi="David" w:cs="David" w:hint="cs"/>
          <w:sz w:val="28"/>
          <w:szCs w:val="28"/>
          <w:rtl/>
        </w:rPr>
        <w:t>שהיו מגיעים ובדרך ה</w:t>
      </w:r>
      <w:r w:rsidR="00FD653E">
        <w:rPr>
          <w:rFonts w:ascii="David" w:eastAsia="Times New Roman" w:hAnsi="David" w:cs="David" w:hint="cs"/>
          <w:sz w:val="28"/>
          <w:szCs w:val="28"/>
          <w:rtl/>
        </w:rPr>
        <w:t>מ</w:t>
      </w:r>
      <w:r w:rsidR="00A41FFF">
        <w:rPr>
          <w:rFonts w:ascii="David" w:eastAsia="Times New Roman" w:hAnsi="David" w:cs="David" w:hint="cs"/>
          <w:sz w:val="28"/>
          <w:szCs w:val="28"/>
          <w:rtl/>
        </w:rPr>
        <w:t xml:space="preserve">לך למערער 2 מאותן עסקאות </w:t>
      </w:r>
      <w:r w:rsidR="00FD653E">
        <w:rPr>
          <w:rFonts w:ascii="David" w:eastAsia="Times New Roman" w:hAnsi="David" w:cs="David" w:hint="cs"/>
          <w:sz w:val="28"/>
          <w:szCs w:val="28"/>
          <w:rtl/>
        </w:rPr>
        <w:t>הינם גבוהים</w:t>
      </w:r>
      <w:r w:rsidR="00A41FFF">
        <w:rPr>
          <w:rFonts w:ascii="David" w:eastAsia="Times New Roman" w:hAnsi="David" w:cs="David" w:hint="cs"/>
          <w:sz w:val="28"/>
          <w:szCs w:val="28"/>
          <w:rtl/>
        </w:rPr>
        <w:t xml:space="preserve"> במאות אלפי </w:t>
      </w:r>
      <w:r w:rsidR="00FD653E">
        <w:rPr>
          <w:rFonts w:ascii="David" w:eastAsia="Times New Roman" w:hAnsi="David" w:cs="David" w:hint="cs"/>
          <w:sz w:val="28"/>
          <w:szCs w:val="28"/>
          <w:rtl/>
        </w:rPr>
        <w:t>₪</w:t>
      </w:r>
      <w:r w:rsidR="00A41FFF">
        <w:rPr>
          <w:rFonts w:ascii="David" w:eastAsia="Times New Roman" w:hAnsi="David" w:cs="David" w:hint="cs"/>
          <w:sz w:val="28"/>
          <w:szCs w:val="28"/>
          <w:rtl/>
        </w:rPr>
        <w:t>, מדמי התיווך שקיבל מערער 2 בפועל מדוידי. ראוי לציין כי המאשימה לא קראה תיגר על עדותם המקצועית של אותם ע</w:t>
      </w:r>
      <w:r w:rsidR="005968F1">
        <w:rPr>
          <w:rFonts w:ascii="David" w:eastAsia="Times New Roman" w:hAnsi="David" w:cs="David" w:hint="cs"/>
          <w:sz w:val="28"/>
          <w:szCs w:val="28"/>
          <w:rtl/>
        </w:rPr>
        <w:t>ד</w:t>
      </w:r>
      <w:r w:rsidR="00A41FFF">
        <w:rPr>
          <w:rFonts w:ascii="David" w:eastAsia="Times New Roman" w:hAnsi="David" w:cs="David" w:hint="cs"/>
          <w:sz w:val="28"/>
          <w:szCs w:val="28"/>
          <w:rtl/>
        </w:rPr>
        <w:t xml:space="preserve">ים ולא הביאה ראיות להזים אותם. מאליה עולה השאלה: </w:t>
      </w:r>
      <w:r w:rsidR="00A41FFF">
        <w:rPr>
          <w:rFonts w:ascii="David" w:eastAsia="Times New Roman" w:hAnsi="David" w:cs="David" w:hint="cs"/>
          <w:b/>
          <w:bCs/>
          <w:sz w:val="28"/>
          <w:szCs w:val="28"/>
          <w:rtl/>
        </w:rPr>
        <w:t>האם סביר שדוידי ישלם דמי שוחד באצטלא של דמי תיווך ב</w:t>
      </w:r>
      <w:r w:rsidR="00FB39C5">
        <w:rPr>
          <w:rFonts w:ascii="David" w:eastAsia="Times New Roman" w:hAnsi="David" w:cs="David" w:hint="cs"/>
          <w:b/>
          <w:bCs/>
          <w:sz w:val="28"/>
          <w:szCs w:val="28"/>
          <w:rtl/>
        </w:rPr>
        <w:t>עסקת יעדים</w:t>
      </w:r>
      <w:r w:rsidR="00A41FFF">
        <w:rPr>
          <w:rFonts w:ascii="David" w:eastAsia="Times New Roman" w:hAnsi="David" w:cs="David" w:hint="cs"/>
          <w:b/>
          <w:bCs/>
          <w:sz w:val="28"/>
          <w:szCs w:val="28"/>
          <w:rtl/>
        </w:rPr>
        <w:t xml:space="preserve"> באותה השעה שהוא</w:t>
      </w:r>
      <w:r w:rsidR="00D17A34">
        <w:rPr>
          <w:rFonts w:ascii="David" w:eastAsia="Times New Roman" w:hAnsi="David" w:cs="David" w:hint="cs"/>
          <w:b/>
          <w:bCs/>
          <w:sz w:val="28"/>
          <w:szCs w:val="28"/>
          <w:rtl/>
        </w:rPr>
        <w:t xml:space="preserve"> רשאי לשלם דמי תיווך ראויים בגובה זהה בגין עסקאות אמת אחרות שלא ניתן לחלוק עליה</w:t>
      </w:r>
      <w:r w:rsidR="00FD653E">
        <w:rPr>
          <w:rFonts w:ascii="David" w:eastAsia="Times New Roman" w:hAnsi="David" w:cs="David" w:hint="cs"/>
          <w:b/>
          <w:bCs/>
          <w:sz w:val="28"/>
          <w:szCs w:val="28"/>
          <w:rtl/>
        </w:rPr>
        <w:t>ן</w:t>
      </w:r>
      <w:r w:rsidR="00D17A34">
        <w:rPr>
          <w:rFonts w:ascii="David" w:eastAsia="Times New Roman" w:hAnsi="David" w:cs="David" w:hint="cs"/>
          <w:b/>
          <w:bCs/>
          <w:sz w:val="28"/>
          <w:szCs w:val="28"/>
          <w:rtl/>
        </w:rPr>
        <w:t>?!</w:t>
      </w:r>
      <w:r w:rsidR="00FF4BAA">
        <w:rPr>
          <w:rFonts w:ascii="David" w:eastAsia="Times New Roman" w:hAnsi="David" w:cs="David" w:hint="cs"/>
          <w:b/>
          <w:bCs/>
          <w:sz w:val="28"/>
          <w:szCs w:val="28"/>
          <w:rtl/>
        </w:rPr>
        <w:t xml:space="preserve"> </w:t>
      </w:r>
      <w:r w:rsidR="00FF4BAA">
        <w:rPr>
          <w:rFonts w:ascii="David" w:eastAsia="Times New Roman" w:hAnsi="David" w:cs="David" w:hint="cs"/>
          <w:sz w:val="28"/>
          <w:szCs w:val="28"/>
          <w:rtl/>
        </w:rPr>
        <w:t xml:space="preserve">בהכרעת הדין מפורטת דרך חתחתים עקלקלה ומפותלת מלאה במהמורות הסוואה מסוכנות שבה נקטו דוידי ומערער 2 בשיתוף דרור </w:t>
      </w:r>
      <w:proofErr w:type="spellStart"/>
      <w:r w:rsidR="00FF4BAA">
        <w:rPr>
          <w:rFonts w:ascii="David" w:eastAsia="Times New Roman" w:hAnsi="David" w:cs="David" w:hint="cs"/>
          <w:sz w:val="28"/>
          <w:szCs w:val="28"/>
          <w:rtl/>
        </w:rPr>
        <w:t>אלמלם</w:t>
      </w:r>
      <w:proofErr w:type="spellEnd"/>
      <w:r w:rsidR="00FF4BAA">
        <w:rPr>
          <w:rFonts w:ascii="David" w:eastAsia="Times New Roman" w:hAnsi="David" w:cs="David" w:hint="cs"/>
          <w:sz w:val="28"/>
          <w:szCs w:val="28"/>
          <w:rtl/>
        </w:rPr>
        <w:t xml:space="preserve"> על מנת</w:t>
      </w:r>
      <w:r w:rsidR="00FD653E">
        <w:rPr>
          <w:rFonts w:ascii="David" w:eastAsia="Times New Roman" w:hAnsi="David" w:cs="David" w:hint="cs"/>
          <w:sz w:val="28"/>
          <w:szCs w:val="28"/>
          <w:rtl/>
        </w:rPr>
        <w:t xml:space="preserve"> להסוות את פיקטיביות התשלום בסך 150,000 ₪ ששולם למערער 2.</w:t>
      </w:r>
      <w:r w:rsidR="00FF4BAA">
        <w:rPr>
          <w:rFonts w:ascii="David" w:eastAsia="Times New Roman" w:hAnsi="David" w:cs="David" w:hint="cs"/>
          <w:sz w:val="28"/>
          <w:szCs w:val="28"/>
          <w:rtl/>
        </w:rPr>
        <w:t xml:space="preserve"> </w:t>
      </w:r>
    </w:p>
    <w:p w14:paraId="54F53FF8" w14:textId="1DEAE377" w:rsidR="00D83203" w:rsidRDefault="00FF4BAA" w:rsidP="00FD653E">
      <w:pPr>
        <w:pStyle w:val="a5"/>
        <w:shd w:val="clear" w:color="auto" w:fill="FFFFFF"/>
        <w:spacing w:after="0" w:line="360" w:lineRule="auto"/>
        <w:ind w:left="755"/>
        <w:jc w:val="both"/>
        <w:rPr>
          <w:rFonts w:ascii="David" w:eastAsia="Times New Roman" w:hAnsi="David" w:cs="David"/>
          <w:sz w:val="28"/>
          <w:szCs w:val="28"/>
        </w:rPr>
      </w:pPr>
      <w:r>
        <w:rPr>
          <w:rFonts w:ascii="David" w:eastAsia="Times New Roman" w:hAnsi="David" w:cs="David" w:hint="cs"/>
          <w:sz w:val="28"/>
          <w:szCs w:val="28"/>
          <w:rtl/>
        </w:rPr>
        <w:t>דא עקא, שלא היה בכך כל צורך, שהרי אם רצה דוידי להעביר למערער 2 כספים</w:t>
      </w:r>
      <w:r w:rsidR="00FD653E">
        <w:rPr>
          <w:rFonts w:ascii="David" w:eastAsia="Times New Roman" w:hAnsi="David" w:cs="David" w:hint="cs"/>
          <w:sz w:val="28"/>
          <w:szCs w:val="28"/>
          <w:rtl/>
        </w:rPr>
        <w:t>,</w:t>
      </w:r>
      <w:r>
        <w:rPr>
          <w:rFonts w:ascii="David" w:eastAsia="Times New Roman" w:hAnsi="David" w:cs="David" w:hint="cs"/>
          <w:sz w:val="28"/>
          <w:szCs w:val="28"/>
          <w:rtl/>
        </w:rPr>
        <w:t xml:space="preserve"> יכול היה לעשות זאת כדין ובדרך המלך בצורת השלמת </w:t>
      </w:r>
      <w:r w:rsidR="00FD653E">
        <w:rPr>
          <w:rFonts w:ascii="David" w:eastAsia="Times New Roman" w:hAnsi="David" w:cs="David" w:hint="cs"/>
          <w:sz w:val="28"/>
          <w:szCs w:val="28"/>
          <w:rtl/>
        </w:rPr>
        <w:t>ה</w:t>
      </w:r>
      <w:r>
        <w:rPr>
          <w:rFonts w:ascii="David" w:eastAsia="Times New Roman" w:hAnsi="David" w:cs="David" w:hint="cs"/>
          <w:sz w:val="28"/>
          <w:szCs w:val="28"/>
          <w:rtl/>
        </w:rPr>
        <w:t>ת</w:t>
      </w:r>
      <w:r w:rsidR="005968F1">
        <w:rPr>
          <w:rFonts w:ascii="David" w:eastAsia="Times New Roman" w:hAnsi="David" w:cs="David" w:hint="cs"/>
          <w:sz w:val="28"/>
          <w:szCs w:val="28"/>
          <w:rtl/>
        </w:rPr>
        <w:t>ש</w:t>
      </w:r>
      <w:r>
        <w:rPr>
          <w:rFonts w:ascii="David" w:eastAsia="Times New Roman" w:hAnsi="David" w:cs="David" w:hint="cs"/>
          <w:sz w:val="28"/>
          <w:szCs w:val="28"/>
          <w:rtl/>
        </w:rPr>
        <w:t xml:space="preserve">לומים </w:t>
      </w:r>
      <w:r w:rsidR="00FD653E">
        <w:rPr>
          <w:rFonts w:ascii="David" w:eastAsia="Times New Roman" w:hAnsi="David" w:cs="David" w:hint="cs"/>
          <w:sz w:val="28"/>
          <w:szCs w:val="28"/>
          <w:rtl/>
        </w:rPr>
        <w:t>ה</w:t>
      </w:r>
      <w:r>
        <w:rPr>
          <w:rFonts w:ascii="David" w:eastAsia="Times New Roman" w:hAnsi="David" w:cs="David" w:hint="cs"/>
          <w:sz w:val="28"/>
          <w:szCs w:val="28"/>
          <w:rtl/>
        </w:rPr>
        <w:t>ראויים למערער 2 בגין עסקאות האמת בהן תיווך.</w:t>
      </w:r>
    </w:p>
    <w:p w14:paraId="664ACE44" w14:textId="77777777" w:rsidR="00BF1B38" w:rsidRPr="00BF1B38" w:rsidRDefault="00BF1B38" w:rsidP="00BF1B38">
      <w:pPr>
        <w:shd w:val="clear" w:color="auto" w:fill="FFFFFF"/>
        <w:spacing w:after="0" w:line="360" w:lineRule="auto"/>
        <w:jc w:val="both"/>
        <w:rPr>
          <w:rFonts w:ascii="David" w:eastAsia="Times New Roman" w:hAnsi="David" w:cs="David"/>
          <w:sz w:val="28"/>
          <w:szCs w:val="28"/>
        </w:rPr>
      </w:pPr>
    </w:p>
    <w:p w14:paraId="40C8F014" w14:textId="7AA46545" w:rsidR="00FF4BAA" w:rsidRDefault="00FF4BAA" w:rsidP="003B1ABF">
      <w:pPr>
        <w:pStyle w:val="a5"/>
        <w:numPr>
          <w:ilvl w:val="0"/>
          <w:numId w:val="22"/>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הוכח שהתשלום בסך 150,000 ₪ ששילם דוידי למערער 2 קשור בטבורו ל</w:t>
      </w:r>
      <w:r w:rsidR="00FB39C5">
        <w:rPr>
          <w:rFonts w:ascii="David" w:eastAsia="Times New Roman" w:hAnsi="David" w:cs="David" w:hint="cs"/>
          <w:sz w:val="28"/>
          <w:szCs w:val="28"/>
          <w:rtl/>
        </w:rPr>
        <w:t>עסקת יעדים</w:t>
      </w:r>
      <w:r>
        <w:rPr>
          <w:rFonts w:ascii="David" w:eastAsia="Times New Roman" w:hAnsi="David" w:cs="David" w:hint="cs"/>
          <w:sz w:val="28"/>
          <w:szCs w:val="28"/>
          <w:rtl/>
        </w:rPr>
        <w:t xml:space="preserve"> כמקדמה על חשבון דמי התיווך שהיו מגיעים למערער 2. </w:t>
      </w:r>
      <w:r>
        <w:rPr>
          <w:rFonts w:ascii="David" w:eastAsia="Times New Roman" w:hAnsi="David" w:cs="David" w:hint="cs"/>
          <w:sz w:val="28"/>
          <w:szCs w:val="28"/>
          <w:rtl/>
        </w:rPr>
        <w:lastRenderedPageBreak/>
        <w:t>במסגרת המשפט בערכאה קמא, הובאו ראיות טובות, שלא נסתרו, ש</w:t>
      </w:r>
      <w:r w:rsidR="00BF1B38">
        <w:rPr>
          <w:rFonts w:ascii="David" w:eastAsia="Times New Roman" w:hAnsi="David" w:cs="David" w:hint="cs"/>
          <w:sz w:val="28"/>
          <w:szCs w:val="28"/>
          <w:rtl/>
        </w:rPr>
        <w:t>ל</w:t>
      </w:r>
      <w:r>
        <w:rPr>
          <w:rFonts w:ascii="David" w:eastAsia="Times New Roman" w:hAnsi="David" w:cs="David" w:hint="cs"/>
          <w:sz w:val="28"/>
          <w:szCs w:val="28"/>
          <w:rtl/>
        </w:rPr>
        <w:t>פיה</w:t>
      </w:r>
      <w:r w:rsidR="00FD653E">
        <w:rPr>
          <w:rFonts w:ascii="David" w:eastAsia="Times New Roman" w:hAnsi="David" w:cs="David" w:hint="cs"/>
          <w:sz w:val="28"/>
          <w:szCs w:val="28"/>
          <w:rtl/>
        </w:rPr>
        <w:t>ן</w:t>
      </w:r>
      <w:r>
        <w:rPr>
          <w:rFonts w:ascii="David" w:eastAsia="Times New Roman" w:hAnsi="David" w:cs="David" w:hint="cs"/>
          <w:sz w:val="28"/>
          <w:szCs w:val="28"/>
          <w:rtl/>
        </w:rPr>
        <w:t xml:space="preserve"> סכום המקדמה בסך 150,000 ₪ ששילם דוידי למערער 2, קוזז עד השקל האחרון מדמי התיווך שזכאי היה מערער 2 לקבל משיווק הפרויקט</w:t>
      </w:r>
      <w:r w:rsidR="00FD653E">
        <w:rPr>
          <w:rFonts w:ascii="David" w:eastAsia="Times New Roman" w:hAnsi="David" w:cs="David" w:hint="cs"/>
          <w:sz w:val="28"/>
          <w:szCs w:val="28"/>
          <w:rtl/>
        </w:rPr>
        <w:t>.</w:t>
      </w:r>
      <w:r>
        <w:rPr>
          <w:rFonts w:ascii="David" w:eastAsia="Times New Roman" w:hAnsi="David" w:cs="David" w:hint="cs"/>
          <w:sz w:val="28"/>
          <w:szCs w:val="28"/>
          <w:rtl/>
        </w:rPr>
        <w:t xml:space="preserve"> </w:t>
      </w:r>
    </w:p>
    <w:p w14:paraId="6081F95B" w14:textId="77777777" w:rsidR="00BF1B38" w:rsidRPr="00BF1B38" w:rsidRDefault="00BF1B38" w:rsidP="00BF1B38">
      <w:pPr>
        <w:pStyle w:val="a5"/>
        <w:rPr>
          <w:rFonts w:ascii="David" w:eastAsia="Times New Roman" w:hAnsi="David" w:cs="David"/>
          <w:sz w:val="28"/>
          <w:szCs w:val="28"/>
          <w:rtl/>
        </w:rPr>
      </w:pPr>
    </w:p>
    <w:p w14:paraId="1268FB6B" w14:textId="77777777" w:rsidR="00BF1B38" w:rsidRDefault="00BF1B38" w:rsidP="00BF1B38">
      <w:pPr>
        <w:pStyle w:val="a5"/>
        <w:shd w:val="clear" w:color="auto" w:fill="FFFFFF"/>
        <w:spacing w:after="0" w:line="360" w:lineRule="auto"/>
        <w:ind w:left="755"/>
        <w:jc w:val="both"/>
        <w:rPr>
          <w:rFonts w:ascii="David" w:eastAsia="Times New Roman" w:hAnsi="David" w:cs="David"/>
          <w:sz w:val="28"/>
          <w:szCs w:val="28"/>
        </w:rPr>
      </w:pPr>
    </w:p>
    <w:p w14:paraId="6A3ADEC9" w14:textId="43BC5BF6" w:rsidR="00265DF1" w:rsidRDefault="00FF4BAA" w:rsidP="00265DF1">
      <w:pPr>
        <w:pStyle w:val="a5"/>
        <w:numPr>
          <w:ilvl w:val="0"/>
          <w:numId w:val="22"/>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העובדה שמדובר בתשלום כספי</w:t>
      </w:r>
      <w:r w:rsidR="00DF7D28">
        <w:rPr>
          <w:rFonts w:ascii="David" w:eastAsia="Times New Roman" w:hAnsi="David" w:cs="David" w:hint="cs"/>
          <w:sz w:val="28"/>
          <w:szCs w:val="28"/>
          <w:rtl/>
        </w:rPr>
        <w:t xml:space="preserve"> אמיתי</w:t>
      </w:r>
      <w:r w:rsidR="00265DF1">
        <w:rPr>
          <w:rFonts w:ascii="David" w:eastAsia="Times New Roman" w:hAnsi="David" w:cs="David" w:hint="cs"/>
          <w:sz w:val="28"/>
          <w:szCs w:val="28"/>
          <w:rtl/>
        </w:rPr>
        <w:t xml:space="preserve"> למערער 2</w:t>
      </w:r>
      <w:r w:rsidR="00DF7D28">
        <w:rPr>
          <w:rFonts w:ascii="David" w:eastAsia="Times New Roman" w:hAnsi="David" w:cs="David" w:hint="cs"/>
          <w:sz w:val="28"/>
          <w:szCs w:val="28"/>
          <w:rtl/>
        </w:rPr>
        <w:t xml:space="preserve"> שבשום אופן לא נועד לה</w:t>
      </w:r>
      <w:r w:rsidR="00265DF1">
        <w:rPr>
          <w:rFonts w:ascii="David" w:eastAsia="Times New Roman" w:hAnsi="David" w:cs="David" w:hint="cs"/>
          <w:sz w:val="28"/>
          <w:szCs w:val="28"/>
          <w:rtl/>
        </w:rPr>
        <w:t xml:space="preserve">וות תשלום שוחד </w:t>
      </w:r>
      <w:r w:rsidR="00DF7D28">
        <w:rPr>
          <w:rFonts w:ascii="David" w:eastAsia="Times New Roman" w:hAnsi="David" w:cs="David" w:hint="cs"/>
          <w:sz w:val="28"/>
          <w:szCs w:val="28"/>
          <w:rtl/>
        </w:rPr>
        <w:t>עבור מערער 1- מוכחת</w:t>
      </w:r>
      <w:r w:rsidR="00265DF1">
        <w:rPr>
          <w:rFonts w:ascii="David" w:eastAsia="Times New Roman" w:hAnsi="David" w:cs="David" w:hint="cs"/>
          <w:sz w:val="28"/>
          <w:szCs w:val="28"/>
          <w:rtl/>
        </w:rPr>
        <w:t xml:space="preserve"> גם</w:t>
      </w:r>
      <w:r w:rsidR="00DF7D28">
        <w:rPr>
          <w:rFonts w:ascii="David" w:eastAsia="Times New Roman" w:hAnsi="David" w:cs="David" w:hint="cs"/>
          <w:sz w:val="28"/>
          <w:szCs w:val="28"/>
          <w:rtl/>
        </w:rPr>
        <w:t xml:space="preserve"> מכך שמערער 2 עשה בכסף הזה כרצונו </w:t>
      </w:r>
      <w:r w:rsidR="00DF7D28">
        <w:rPr>
          <w:rFonts w:ascii="David" w:eastAsia="Times New Roman" w:hAnsi="David" w:cs="David" w:hint="cs"/>
          <w:b/>
          <w:bCs/>
          <w:sz w:val="28"/>
          <w:szCs w:val="28"/>
          <w:rtl/>
        </w:rPr>
        <w:t>ו</w:t>
      </w:r>
      <w:r w:rsidR="00265DF1">
        <w:rPr>
          <w:rFonts w:ascii="David" w:eastAsia="Times New Roman" w:hAnsi="David" w:cs="David" w:hint="cs"/>
          <w:b/>
          <w:bCs/>
          <w:sz w:val="28"/>
          <w:szCs w:val="28"/>
          <w:rtl/>
        </w:rPr>
        <w:t>כ</w:t>
      </w:r>
      <w:r w:rsidR="00DF7D28">
        <w:rPr>
          <w:rFonts w:ascii="David" w:eastAsia="Times New Roman" w:hAnsi="David" w:cs="David" w:hint="cs"/>
          <w:b/>
          <w:bCs/>
          <w:sz w:val="28"/>
          <w:szCs w:val="28"/>
          <w:rtl/>
        </w:rPr>
        <w:t>רצונו בלבד</w:t>
      </w:r>
      <w:r w:rsidR="00265DF1">
        <w:rPr>
          <w:rFonts w:ascii="David" w:eastAsia="Times New Roman" w:hAnsi="David" w:cs="David" w:hint="cs"/>
          <w:b/>
          <w:bCs/>
          <w:sz w:val="28"/>
          <w:szCs w:val="28"/>
          <w:rtl/>
        </w:rPr>
        <w:t>.</w:t>
      </w:r>
      <w:r w:rsidR="00DF7D28">
        <w:rPr>
          <w:rFonts w:ascii="David" w:eastAsia="Times New Roman" w:hAnsi="David" w:cs="David" w:hint="cs"/>
          <w:b/>
          <w:bCs/>
          <w:sz w:val="28"/>
          <w:szCs w:val="28"/>
          <w:rtl/>
        </w:rPr>
        <w:t xml:space="preserve"> </w:t>
      </w:r>
      <w:r w:rsidR="00265DF1">
        <w:rPr>
          <w:rFonts w:ascii="David" w:eastAsia="Times New Roman" w:hAnsi="David" w:cs="David" w:hint="cs"/>
          <w:sz w:val="28"/>
          <w:szCs w:val="28"/>
          <w:rtl/>
        </w:rPr>
        <w:t xml:space="preserve">הוא </w:t>
      </w:r>
      <w:r w:rsidR="00DF7D28">
        <w:rPr>
          <w:rFonts w:ascii="David" w:eastAsia="Times New Roman" w:hAnsi="David" w:cs="David" w:hint="cs"/>
          <w:sz w:val="28"/>
          <w:szCs w:val="28"/>
          <w:rtl/>
        </w:rPr>
        <w:t>החליט על דעת עצמו בלבד אם לסייע לאחיו מערער 1 ואם כן באיזה סכום לסייע לו</w:t>
      </w:r>
      <w:r w:rsidR="00265DF1">
        <w:rPr>
          <w:rFonts w:ascii="David" w:eastAsia="Times New Roman" w:hAnsi="David" w:cs="David" w:hint="cs"/>
          <w:sz w:val="28"/>
          <w:szCs w:val="28"/>
          <w:rtl/>
        </w:rPr>
        <w:t>.</w:t>
      </w:r>
      <w:r w:rsidR="00464FF0">
        <w:rPr>
          <w:rFonts w:ascii="David" w:eastAsia="Times New Roman" w:hAnsi="David" w:cs="David" w:hint="cs"/>
          <w:sz w:val="28"/>
          <w:szCs w:val="28"/>
          <w:rtl/>
        </w:rPr>
        <w:t xml:space="preserve"> </w:t>
      </w:r>
    </w:p>
    <w:p w14:paraId="4B08FFE8" w14:textId="77777777" w:rsidR="00B828CF" w:rsidRDefault="003478BF" w:rsidP="006616B8">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t xml:space="preserve">כאשר בוחנים </w:t>
      </w:r>
      <w:r w:rsidR="00265DF1">
        <w:rPr>
          <w:rFonts w:ascii="David" w:eastAsia="Times New Roman" w:hAnsi="David" w:cs="David" w:hint="cs"/>
          <w:sz w:val="28"/>
          <w:szCs w:val="28"/>
          <w:rtl/>
        </w:rPr>
        <w:t xml:space="preserve">את </w:t>
      </w:r>
      <w:r>
        <w:rPr>
          <w:rFonts w:ascii="David" w:eastAsia="Times New Roman" w:hAnsi="David" w:cs="David" w:hint="cs"/>
          <w:sz w:val="28"/>
          <w:szCs w:val="28"/>
          <w:rtl/>
        </w:rPr>
        <w:t>דפי חשבון הבנק של המערער 2</w:t>
      </w:r>
      <w:r w:rsidR="00265DF1">
        <w:rPr>
          <w:rFonts w:ascii="David" w:eastAsia="Times New Roman" w:hAnsi="David" w:cs="David" w:hint="cs"/>
          <w:sz w:val="28"/>
          <w:szCs w:val="28"/>
          <w:rtl/>
        </w:rPr>
        <w:t xml:space="preserve"> מתחזקת מאוד המסקנה הזו.</w:t>
      </w:r>
      <w:r>
        <w:rPr>
          <w:rFonts w:ascii="David" w:eastAsia="Times New Roman" w:hAnsi="David" w:cs="David" w:hint="cs"/>
          <w:sz w:val="28"/>
          <w:szCs w:val="28"/>
          <w:rtl/>
        </w:rPr>
        <w:t xml:space="preserve"> ארבע פעמים העביר המערער</w:t>
      </w:r>
      <w:r w:rsidR="00265DF1">
        <w:rPr>
          <w:rFonts w:ascii="David" w:eastAsia="Times New Roman" w:hAnsi="David" w:cs="David" w:hint="cs"/>
          <w:sz w:val="28"/>
          <w:szCs w:val="28"/>
          <w:rtl/>
        </w:rPr>
        <w:t xml:space="preserve"> 2</w:t>
      </w:r>
      <w:r>
        <w:rPr>
          <w:rFonts w:ascii="David" w:eastAsia="Times New Roman" w:hAnsi="David" w:cs="David" w:hint="cs"/>
          <w:sz w:val="28"/>
          <w:szCs w:val="28"/>
          <w:rtl/>
        </w:rPr>
        <w:t xml:space="preserve"> כספים מחשבונו לטובת המערער 1. </w:t>
      </w:r>
      <w:r w:rsidR="00CC34A4">
        <w:rPr>
          <w:rFonts w:ascii="David" w:eastAsia="Times New Roman" w:hAnsi="David" w:cs="David" w:hint="cs"/>
          <w:sz w:val="28"/>
          <w:szCs w:val="28"/>
          <w:rtl/>
        </w:rPr>
        <w:t>ביהמ</w:t>
      </w:r>
      <w:r w:rsidR="00CC34A4">
        <w:rPr>
          <w:rFonts w:ascii="David" w:eastAsia="Times New Roman" w:hAnsi="David" w:cs="David"/>
          <w:sz w:val="28"/>
          <w:szCs w:val="28"/>
          <w:rtl/>
        </w:rPr>
        <w:t>"</w:t>
      </w:r>
      <w:r w:rsidR="00CC34A4">
        <w:rPr>
          <w:rFonts w:ascii="David" w:eastAsia="Times New Roman" w:hAnsi="David" w:cs="David" w:hint="cs"/>
          <w:sz w:val="28"/>
          <w:szCs w:val="28"/>
          <w:rtl/>
        </w:rPr>
        <w:t>ש</w:t>
      </w:r>
      <w:r>
        <w:rPr>
          <w:rFonts w:ascii="David" w:eastAsia="Times New Roman" w:hAnsi="David" w:cs="David" w:hint="cs"/>
          <w:sz w:val="28"/>
          <w:szCs w:val="28"/>
          <w:rtl/>
        </w:rPr>
        <w:t xml:space="preserve"> קמא קבע כי כל ההעברות הללו מקורן בכספים שקיבל </w:t>
      </w:r>
      <w:r w:rsidR="00265DF1">
        <w:rPr>
          <w:rFonts w:ascii="David" w:eastAsia="Times New Roman" w:hAnsi="David" w:cs="David" w:hint="cs"/>
          <w:sz w:val="28"/>
          <w:szCs w:val="28"/>
          <w:rtl/>
        </w:rPr>
        <w:t>ה</w:t>
      </w:r>
      <w:r>
        <w:rPr>
          <w:rFonts w:ascii="David" w:eastAsia="Times New Roman" w:hAnsi="David" w:cs="David" w:hint="cs"/>
          <w:sz w:val="28"/>
          <w:szCs w:val="28"/>
          <w:rtl/>
        </w:rPr>
        <w:t>מערער 2 מדוידי</w:t>
      </w:r>
      <w:r w:rsidR="00265DF1">
        <w:rPr>
          <w:rFonts w:ascii="David" w:eastAsia="Times New Roman" w:hAnsi="David" w:cs="David" w:hint="cs"/>
          <w:sz w:val="28"/>
          <w:szCs w:val="28"/>
          <w:rtl/>
        </w:rPr>
        <w:t>.</w:t>
      </w:r>
      <w:r>
        <w:rPr>
          <w:rFonts w:ascii="David" w:eastAsia="Times New Roman" w:hAnsi="David" w:cs="David" w:hint="cs"/>
          <w:sz w:val="28"/>
          <w:szCs w:val="28"/>
          <w:rtl/>
        </w:rPr>
        <w:t xml:space="preserve"> </w:t>
      </w:r>
      <w:r w:rsidR="00CC34A4">
        <w:rPr>
          <w:rFonts w:ascii="David" w:eastAsia="Times New Roman" w:hAnsi="David" w:cs="David" w:hint="cs"/>
          <w:sz w:val="28"/>
          <w:szCs w:val="28"/>
          <w:rtl/>
        </w:rPr>
        <w:t>ביהמ</w:t>
      </w:r>
      <w:r w:rsidR="00CC34A4">
        <w:rPr>
          <w:rFonts w:ascii="David" w:eastAsia="Times New Roman" w:hAnsi="David" w:cs="David"/>
          <w:sz w:val="28"/>
          <w:szCs w:val="28"/>
          <w:rtl/>
        </w:rPr>
        <w:t>"</w:t>
      </w:r>
      <w:r w:rsidR="00CC34A4">
        <w:rPr>
          <w:rFonts w:ascii="David" w:eastAsia="Times New Roman" w:hAnsi="David" w:cs="David" w:hint="cs"/>
          <w:sz w:val="28"/>
          <w:szCs w:val="28"/>
          <w:rtl/>
        </w:rPr>
        <w:t>ש</w:t>
      </w:r>
      <w:r>
        <w:rPr>
          <w:rFonts w:ascii="David" w:eastAsia="Times New Roman" w:hAnsi="David" w:cs="David" w:hint="cs"/>
          <w:sz w:val="28"/>
          <w:szCs w:val="28"/>
          <w:rtl/>
        </w:rPr>
        <w:t xml:space="preserve"> קמא גם ייחס משמעות מרחיקת לכת לקביעה זו והסיק ממנה מסקנות מפלילות בעיקר כנגד מערער 1 אבל גם כנגד מערער 2. בכך שגה ביהמ</w:t>
      </w:r>
      <w:r w:rsidR="00CC34A4">
        <w:rPr>
          <w:rFonts w:ascii="David" w:eastAsia="Times New Roman" w:hAnsi="David" w:cs="David" w:hint="cs"/>
          <w:sz w:val="28"/>
          <w:szCs w:val="28"/>
          <w:rtl/>
        </w:rPr>
        <w:t>"ש</w:t>
      </w:r>
      <w:r>
        <w:rPr>
          <w:rFonts w:ascii="David" w:eastAsia="Times New Roman" w:hAnsi="David" w:cs="David" w:hint="cs"/>
          <w:sz w:val="28"/>
          <w:szCs w:val="28"/>
          <w:rtl/>
        </w:rPr>
        <w:t xml:space="preserve"> קמא שגיאה כפולה. </w:t>
      </w:r>
    </w:p>
    <w:p w14:paraId="65CF5C6B" w14:textId="693DCF66" w:rsidR="006616B8" w:rsidRDefault="00B828CF" w:rsidP="006616B8">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t>הראשונה נובעת מכך</w:t>
      </w:r>
      <w:r w:rsidR="003478BF">
        <w:rPr>
          <w:rFonts w:ascii="David" w:eastAsia="Times New Roman" w:hAnsi="David" w:cs="David" w:hint="cs"/>
          <w:sz w:val="28"/>
          <w:szCs w:val="28"/>
          <w:rtl/>
        </w:rPr>
        <w:t xml:space="preserve"> </w:t>
      </w:r>
      <w:r>
        <w:rPr>
          <w:rFonts w:ascii="David" w:eastAsia="Times New Roman" w:hAnsi="David" w:cs="David" w:hint="cs"/>
          <w:sz w:val="28"/>
          <w:szCs w:val="28"/>
          <w:rtl/>
        </w:rPr>
        <w:t>ש</w:t>
      </w:r>
      <w:r w:rsidR="003478BF">
        <w:rPr>
          <w:rFonts w:ascii="David" w:eastAsia="Times New Roman" w:hAnsi="David" w:cs="David" w:hint="cs"/>
          <w:sz w:val="28"/>
          <w:szCs w:val="28"/>
          <w:rtl/>
        </w:rPr>
        <w:t>לא ניתן לקבוע, בוודאות הנדרשת בפלילים, כי מקור הכספים שהעביר מערער 2 למערער 1, הוא דוידי</w:t>
      </w:r>
      <w:r>
        <w:rPr>
          <w:rFonts w:ascii="David" w:eastAsia="Times New Roman" w:hAnsi="David" w:cs="David" w:hint="cs"/>
          <w:sz w:val="28"/>
          <w:szCs w:val="28"/>
          <w:rtl/>
        </w:rPr>
        <w:t>.</w:t>
      </w:r>
      <w:r w:rsidR="003478BF">
        <w:rPr>
          <w:rFonts w:ascii="David" w:eastAsia="Times New Roman" w:hAnsi="David" w:cs="David" w:hint="cs"/>
          <w:sz w:val="28"/>
          <w:szCs w:val="28"/>
          <w:rtl/>
        </w:rPr>
        <w:t xml:space="preserve"> ברם, אפילו ניתן היה לקבוע כך, בשום אופן לא ניתן היה להסיק מכך את המסקנות המפלילות מרחיקות הלכת כנגד המערערים, כפי שהסיק </w:t>
      </w:r>
      <w:r w:rsidR="00CC34A4">
        <w:rPr>
          <w:rFonts w:ascii="David" w:eastAsia="Times New Roman" w:hAnsi="David" w:cs="David" w:hint="cs"/>
          <w:sz w:val="28"/>
          <w:szCs w:val="28"/>
          <w:rtl/>
        </w:rPr>
        <w:t>ביהמ</w:t>
      </w:r>
      <w:r w:rsidR="00CC34A4">
        <w:rPr>
          <w:rFonts w:ascii="David" w:eastAsia="Times New Roman" w:hAnsi="David" w:cs="David"/>
          <w:sz w:val="28"/>
          <w:szCs w:val="28"/>
          <w:rtl/>
        </w:rPr>
        <w:t>"</w:t>
      </w:r>
      <w:r w:rsidR="00CC34A4">
        <w:rPr>
          <w:rFonts w:ascii="David" w:eastAsia="Times New Roman" w:hAnsi="David" w:cs="David" w:hint="cs"/>
          <w:sz w:val="28"/>
          <w:szCs w:val="28"/>
          <w:rtl/>
        </w:rPr>
        <w:t>ש</w:t>
      </w:r>
      <w:r w:rsidR="003478BF">
        <w:rPr>
          <w:rFonts w:ascii="David" w:eastAsia="Times New Roman" w:hAnsi="David" w:cs="David" w:hint="cs"/>
          <w:sz w:val="28"/>
          <w:szCs w:val="28"/>
          <w:rtl/>
        </w:rPr>
        <w:t xml:space="preserve"> קמא. נפנה מבט </w:t>
      </w:r>
      <w:proofErr w:type="spellStart"/>
      <w:r w:rsidR="003478BF">
        <w:rPr>
          <w:rFonts w:ascii="David" w:eastAsia="Times New Roman" w:hAnsi="David" w:cs="David" w:hint="cs"/>
          <w:sz w:val="28"/>
          <w:szCs w:val="28"/>
          <w:rtl/>
        </w:rPr>
        <w:t>לת</w:t>
      </w:r>
      <w:proofErr w:type="spellEnd"/>
      <w:r>
        <w:rPr>
          <w:rFonts w:ascii="David" w:eastAsia="Times New Roman" w:hAnsi="David" w:cs="David" w:hint="cs"/>
          <w:sz w:val="28"/>
          <w:szCs w:val="28"/>
          <w:rtl/>
        </w:rPr>
        <w:t>'</w:t>
      </w:r>
      <w:r w:rsidR="003478BF">
        <w:rPr>
          <w:rFonts w:ascii="David" w:eastAsia="Times New Roman" w:hAnsi="David" w:cs="David" w:hint="cs"/>
          <w:sz w:val="28"/>
          <w:szCs w:val="28"/>
          <w:rtl/>
        </w:rPr>
        <w:t xml:space="preserve"> 656 </w:t>
      </w:r>
      <w:r w:rsidR="003478BF">
        <w:rPr>
          <w:rFonts w:ascii="David" w:eastAsia="Times New Roman" w:hAnsi="David" w:cs="David"/>
          <w:sz w:val="28"/>
          <w:szCs w:val="28"/>
          <w:rtl/>
        </w:rPr>
        <w:t>–</w:t>
      </w:r>
      <w:r w:rsidR="003478BF">
        <w:rPr>
          <w:rFonts w:ascii="David" w:eastAsia="Times New Roman" w:hAnsi="David" w:cs="David" w:hint="cs"/>
          <w:sz w:val="28"/>
          <w:szCs w:val="28"/>
          <w:rtl/>
        </w:rPr>
        <w:t xml:space="preserve"> דפי חשבון הבנק של המערער 2, ומתוכם נפרט את ארבע ההעברות הכספיות,</w:t>
      </w:r>
      <w:r>
        <w:rPr>
          <w:rFonts w:ascii="David" w:eastAsia="Times New Roman" w:hAnsi="David" w:cs="David" w:hint="cs"/>
          <w:sz w:val="28"/>
          <w:szCs w:val="28"/>
          <w:rtl/>
        </w:rPr>
        <w:t xml:space="preserve"> וניווכח שלא ניתן לקבוע שמקורן בכספים שקיבל מערער 2 מדוידי,</w:t>
      </w:r>
      <w:r w:rsidR="003478BF">
        <w:rPr>
          <w:rFonts w:ascii="David" w:eastAsia="Times New Roman" w:hAnsi="David" w:cs="David" w:hint="cs"/>
          <w:sz w:val="28"/>
          <w:szCs w:val="28"/>
          <w:rtl/>
        </w:rPr>
        <w:t xml:space="preserve"> כדלקמן:_</w:t>
      </w:r>
    </w:p>
    <w:p w14:paraId="034A6EA0" w14:textId="77777777" w:rsidR="00677520" w:rsidRDefault="00677520" w:rsidP="006616B8">
      <w:pPr>
        <w:pStyle w:val="a5"/>
        <w:shd w:val="clear" w:color="auto" w:fill="FFFFFF"/>
        <w:spacing w:after="0" w:line="360" w:lineRule="auto"/>
        <w:ind w:left="755"/>
        <w:jc w:val="both"/>
        <w:rPr>
          <w:rFonts w:ascii="David" w:eastAsia="Times New Roman" w:hAnsi="David" w:cs="David"/>
          <w:sz w:val="28"/>
          <w:szCs w:val="28"/>
          <w:rtl/>
        </w:rPr>
      </w:pPr>
    </w:p>
    <w:p w14:paraId="78A9CA63" w14:textId="77777777" w:rsidR="00845BDE" w:rsidRDefault="007F2756" w:rsidP="00F8712F">
      <w:pPr>
        <w:pStyle w:val="a5"/>
        <w:numPr>
          <w:ilvl w:val="0"/>
          <w:numId w:val="23"/>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ב </w:t>
      </w:r>
      <w:r>
        <w:rPr>
          <w:rFonts w:ascii="David" w:eastAsia="Times New Roman" w:hAnsi="David" w:cs="David"/>
          <w:sz w:val="28"/>
          <w:szCs w:val="28"/>
          <w:rtl/>
        </w:rPr>
        <w:t>–</w:t>
      </w:r>
      <w:r>
        <w:rPr>
          <w:rFonts w:ascii="David" w:eastAsia="Times New Roman" w:hAnsi="David" w:cs="David" w:hint="cs"/>
          <w:sz w:val="28"/>
          <w:szCs w:val="28"/>
          <w:rtl/>
        </w:rPr>
        <w:t xml:space="preserve"> 1/12/14 העביר המערער 2 סך של 32,000 ₪ לעו"ד יהושע </w:t>
      </w:r>
      <w:proofErr w:type="spellStart"/>
      <w:r>
        <w:rPr>
          <w:rFonts w:ascii="David" w:eastAsia="Times New Roman" w:hAnsi="David" w:cs="David" w:hint="cs"/>
          <w:sz w:val="28"/>
          <w:szCs w:val="28"/>
          <w:rtl/>
        </w:rPr>
        <w:t>רזניק</w:t>
      </w:r>
      <w:proofErr w:type="spellEnd"/>
      <w:r>
        <w:rPr>
          <w:rFonts w:ascii="David" w:eastAsia="Times New Roman" w:hAnsi="David" w:cs="David" w:hint="cs"/>
          <w:sz w:val="28"/>
          <w:szCs w:val="28"/>
          <w:rtl/>
        </w:rPr>
        <w:t xml:space="preserve"> שטיפל </w:t>
      </w:r>
      <w:proofErr w:type="spellStart"/>
      <w:r>
        <w:rPr>
          <w:rFonts w:ascii="David" w:eastAsia="Times New Roman" w:hAnsi="David" w:cs="David" w:hint="cs"/>
          <w:sz w:val="28"/>
          <w:szCs w:val="28"/>
          <w:rtl/>
        </w:rPr>
        <w:t>בענינו</w:t>
      </w:r>
      <w:proofErr w:type="spellEnd"/>
      <w:r>
        <w:rPr>
          <w:rFonts w:ascii="David" w:eastAsia="Times New Roman" w:hAnsi="David" w:cs="David" w:hint="cs"/>
          <w:sz w:val="28"/>
          <w:szCs w:val="28"/>
          <w:rtl/>
        </w:rPr>
        <w:t xml:space="preserve"> של המערער 1. בגין העברה כספית זו הורשע מערער 1 בעבירה של הפרת אמונים על בסיס הקביעה הנורמטיבית (שאינה מוסכמת ומהווה חלק מ</w:t>
      </w:r>
      <w:r w:rsidR="00845BDE">
        <w:rPr>
          <w:rFonts w:ascii="David" w:eastAsia="Times New Roman" w:hAnsi="David" w:cs="David" w:hint="cs"/>
          <w:sz w:val="28"/>
          <w:szCs w:val="28"/>
          <w:rtl/>
        </w:rPr>
        <w:t>ה</w:t>
      </w:r>
      <w:r>
        <w:rPr>
          <w:rFonts w:ascii="David" w:eastAsia="Times New Roman" w:hAnsi="David" w:cs="David" w:hint="cs"/>
          <w:sz w:val="28"/>
          <w:szCs w:val="28"/>
          <w:rtl/>
        </w:rPr>
        <w:t xml:space="preserve">ערעור שבפנינו) שלפיה הסכמתו של המערער 1 לקבל מהמערער 2 כספים שמקורם בדוידי </w:t>
      </w:r>
      <w:r>
        <w:rPr>
          <w:rFonts w:ascii="David" w:eastAsia="Times New Roman" w:hAnsi="David" w:cs="David"/>
          <w:sz w:val="28"/>
          <w:szCs w:val="28"/>
          <w:rtl/>
        </w:rPr>
        <w:t>–</w:t>
      </w:r>
      <w:r>
        <w:rPr>
          <w:rFonts w:ascii="David" w:eastAsia="Times New Roman" w:hAnsi="David" w:cs="David" w:hint="cs"/>
          <w:sz w:val="28"/>
          <w:szCs w:val="28"/>
          <w:rtl/>
        </w:rPr>
        <w:t xml:space="preserve"> במכלול נסיבות העני</w:t>
      </w:r>
      <w:r w:rsidR="00845BDE">
        <w:rPr>
          <w:rFonts w:ascii="David" w:eastAsia="Times New Roman" w:hAnsi="David" w:cs="David" w:hint="cs"/>
          <w:sz w:val="28"/>
          <w:szCs w:val="28"/>
          <w:rtl/>
        </w:rPr>
        <w:t>י</w:t>
      </w:r>
      <w:r>
        <w:rPr>
          <w:rFonts w:ascii="David" w:eastAsia="Times New Roman" w:hAnsi="David" w:cs="David" w:hint="cs"/>
          <w:sz w:val="28"/>
          <w:szCs w:val="28"/>
          <w:rtl/>
        </w:rPr>
        <w:t xml:space="preserve">ן </w:t>
      </w:r>
      <w:r>
        <w:rPr>
          <w:rFonts w:ascii="David" w:eastAsia="Times New Roman" w:hAnsi="David" w:cs="David"/>
          <w:sz w:val="28"/>
          <w:szCs w:val="28"/>
          <w:rtl/>
        </w:rPr>
        <w:t>–</w:t>
      </w:r>
      <w:r>
        <w:rPr>
          <w:rFonts w:ascii="David" w:eastAsia="Times New Roman" w:hAnsi="David" w:cs="David" w:hint="cs"/>
          <w:sz w:val="28"/>
          <w:szCs w:val="28"/>
          <w:rtl/>
        </w:rPr>
        <w:t xml:space="preserve"> מהווה עבירה פלילית של הפר</w:t>
      </w:r>
      <w:r w:rsidR="00845BDE">
        <w:rPr>
          <w:rFonts w:ascii="David" w:eastAsia="Times New Roman" w:hAnsi="David" w:cs="David" w:hint="cs"/>
          <w:sz w:val="28"/>
          <w:szCs w:val="28"/>
          <w:rtl/>
        </w:rPr>
        <w:t>ת</w:t>
      </w:r>
      <w:r>
        <w:rPr>
          <w:rFonts w:ascii="David" w:eastAsia="Times New Roman" w:hAnsi="David" w:cs="David" w:hint="cs"/>
          <w:sz w:val="28"/>
          <w:szCs w:val="28"/>
          <w:rtl/>
        </w:rPr>
        <w:t xml:space="preserve"> אמונים. כאמור לעיל, בשום אופן לא ניתן היה "לצבוע" את ההעברות הכספיות שהעביר מערער 2 למערער 1 "בצבע</w:t>
      </w:r>
      <w:r w:rsidR="00845BDE">
        <w:rPr>
          <w:rFonts w:ascii="David" w:eastAsia="Times New Roman" w:hAnsi="David" w:cs="David" w:hint="cs"/>
          <w:sz w:val="28"/>
          <w:szCs w:val="28"/>
          <w:rtl/>
        </w:rPr>
        <w:t>י</w:t>
      </w:r>
      <w:r>
        <w:rPr>
          <w:rFonts w:ascii="David" w:eastAsia="Times New Roman" w:hAnsi="David" w:cs="David" w:hint="cs"/>
          <w:sz w:val="28"/>
          <w:szCs w:val="28"/>
          <w:rtl/>
        </w:rPr>
        <w:t xml:space="preserve"> דוידי". </w:t>
      </w:r>
    </w:p>
    <w:p w14:paraId="285EBF29" w14:textId="77777777" w:rsidR="00845BDE" w:rsidRDefault="00845BDE" w:rsidP="00845BDE">
      <w:pPr>
        <w:pStyle w:val="a5"/>
        <w:shd w:val="clear" w:color="auto" w:fill="FFFFFF"/>
        <w:spacing w:after="0" w:line="360" w:lineRule="auto"/>
        <w:ind w:left="786"/>
        <w:jc w:val="both"/>
        <w:rPr>
          <w:rFonts w:ascii="David" w:eastAsia="Times New Roman" w:hAnsi="David" w:cs="David"/>
          <w:sz w:val="28"/>
          <w:szCs w:val="28"/>
          <w:rtl/>
        </w:rPr>
      </w:pPr>
      <w:r>
        <w:rPr>
          <w:rFonts w:ascii="David" w:eastAsia="Times New Roman" w:hAnsi="David" w:cs="David" w:hint="cs"/>
          <w:sz w:val="28"/>
          <w:szCs w:val="28"/>
          <w:rtl/>
        </w:rPr>
        <w:t xml:space="preserve">ההיפך הוא הנכון, </w:t>
      </w:r>
      <w:r w:rsidR="007F2756">
        <w:rPr>
          <w:rFonts w:ascii="David" w:eastAsia="Times New Roman" w:hAnsi="David" w:cs="David" w:hint="cs"/>
          <w:sz w:val="28"/>
          <w:szCs w:val="28"/>
          <w:rtl/>
        </w:rPr>
        <w:t xml:space="preserve">לכל דבר וענין המדובר בכספיו של המערער 2 שאפילו אם השיגם, כולם או חלקם, מפעולות התיווך בעסקאות עם דוידי, הינם כספיו של מערער 2 </w:t>
      </w:r>
      <w:r>
        <w:rPr>
          <w:rFonts w:ascii="David" w:eastAsia="Times New Roman" w:hAnsi="David" w:cs="David" w:hint="cs"/>
          <w:sz w:val="28"/>
          <w:szCs w:val="28"/>
          <w:rtl/>
        </w:rPr>
        <w:t>בלבד.</w:t>
      </w:r>
      <w:r w:rsidR="007F2756">
        <w:rPr>
          <w:rFonts w:ascii="David" w:eastAsia="Times New Roman" w:hAnsi="David" w:cs="David" w:hint="cs"/>
          <w:sz w:val="28"/>
          <w:szCs w:val="28"/>
          <w:rtl/>
        </w:rPr>
        <w:t xml:space="preserve"> </w:t>
      </w:r>
    </w:p>
    <w:p w14:paraId="02CB1325" w14:textId="77777777" w:rsidR="00845BDE" w:rsidRDefault="007F2756" w:rsidP="00845BDE">
      <w:pPr>
        <w:pStyle w:val="a5"/>
        <w:shd w:val="clear" w:color="auto" w:fill="FFFFFF"/>
        <w:spacing w:after="0" w:line="360" w:lineRule="auto"/>
        <w:ind w:left="786"/>
        <w:jc w:val="both"/>
        <w:rPr>
          <w:rFonts w:ascii="David" w:eastAsia="Times New Roman" w:hAnsi="David" w:cs="David"/>
          <w:sz w:val="28"/>
          <w:szCs w:val="28"/>
          <w:rtl/>
        </w:rPr>
      </w:pPr>
      <w:r>
        <w:rPr>
          <w:rFonts w:ascii="David" w:eastAsia="Times New Roman" w:hAnsi="David" w:cs="David" w:hint="cs"/>
          <w:sz w:val="28"/>
          <w:szCs w:val="28"/>
          <w:rtl/>
        </w:rPr>
        <w:t>אח</w:t>
      </w:r>
      <w:r w:rsidR="00845BDE">
        <w:rPr>
          <w:rFonts w:ascii="David" w:eastAsia="Times New Roman" w:hAnsi="David" w:cs="David" w:hint="cs"/>
          <w:sz w:val="28"/>
          <w:szCs w:val="28"/>
          <w:rtl/>
        </w:rPr>
        <w:t xml:space="preserve">ר </w:t>
      </w:r>
      <w:r>
        <w:rPr>
          <w:rFonts w:ascii="David" w:eastAsia="Times New Roman" w:hAnsi="David" w:cs="David" w:hint="cs"/>
          <w:sz w:val="28"/>
          <w:szCs w:val="28"/>
          <w:rtl/>
        </w:rPr>
        <w:t xml:space="preserve">הדברים העקרוניים האלה נביט </w:t>
      </w:r>
      <w:r w:rsidRPr="007F2756">
        <w:rPr>
          <w:rFonts w:ascii="David" w:eastAsia="Times New Roman" w:hAnsi="David" w:cs="David" w:hint="cs"/>
          <w:sz w:val="28"/>
          <w:szCs w:val="28"/>
          <w:rtl/>
        </w:rPr>
        <w:t>בת</w:t>
      </w:r>
      <w:r w:rsidR="00845BDE">
        <w:rPr>
          <w:rFonts w:ascii="David" w:eastAsia="Times New Roman" w:hAnsi="David" w:cs="David" w:hint="cs"/>
          <w:sz w:val="28"/>
          <w:szCs w:val="28"/>
          <w:rtl/>
        </w:rPr>
        <w:t>/</w:t>
      </w:r>
      <w:r w:rsidRPr="007F2756">
        <w:rPr>
          <w:rFonts w:ascii="David" w:eastAsia="Times New Roman" w:hAnsi="David" w:cs="David" w:hint="cs"/>
          <w:sz w:val="28"/>
          <w:szCs w:val="28"/>
          <w:rtl/>
        </w:rPr>
        <w:t xml:space="preserve"> 656</w:t>
      </w:r>
      <w:r>
        <w:rPr>
          <w:rFonts w:ascii="David" w:eastAsia="Times New Roman" w:hAnsi="David" w:cs="David" w:hint="cs"/>
          <w:sz w:val="28"/>
          <w:szCs w:val="28"/>
          <w:rtl/>
        </w:rPr>
        <w:t xml:space="preserve"> וניווכח שבו ביום </w:t>
      </w:r>
      <w:r w:rsidR="00845BDE">
        <w:rPr>
          <w:rFonts w:ascii="David" w:eastAsia="Times New Roman" w:hAnsi="David" w:cs="David" w:hint="cs"/>
          <w:sz w:val="28"/>
          <w:szCs w:val="28"/>
          <w:rtl/>
        </w:rPr>
        <w:t>ו</w:t>
      </w:r>
      <w:r>
        <w:rPr>
          <w:rFonts w:ascii="David" w:eastAsia="Times New Roman" w:hAnsi="David" w:cs="David" w:hint="cs"/>
          <w:sz w:val="28"/>
          <w:szCs w:val="28"/>
          <w:rtl/>
        </w:rPr>
        <w:t>בטרם העביר מערער 2 לעו</w:t>
      </w:r>
      <w:r w:rsidRPr="00F8712F">
        <w:rPr>
          <w:rFonts w:ascii="David" w:eastAsia="Times New Roman" w:hAnsi="David" w:cs="David" w:hint="cs"/>
          <w:sz w:val="28"/>
          <w:szCs w:val="28"/>
          <w:rtl/>
        </w:rPr>
        <w:t xml:space="preserve">"ד יהושע </w:t>
      </w:r>
      <w:proofErr w:type="spellStart"/>
      <w:r w:rsidRPr="00F8712F">
        <w:rPr>
          <w:rFonts w:ascii="David" w:eastAsia="Times New Roman" w:hAnsi="David" w:cs="David" w:hint="cs"/>
          <w:sz w:val="28"/>
          <w:szCs w:val="28"/>
          <w:rtl/>
        </w:rPr>
        <w:t>רזניק</w:t>
      </w:r>
      <w:proofErr w:type="spellEnd"/>
      <w:r w:rsidRPr="00F8712F">
        <w:rPr>
          <w:rFonts w:ascii="David" w:eastAsia="Times New Roman" w:hAnsi="David" w:cs="David" w:hint="cs"/>
          <w:sz w:val="28"/>
          <w:szCs w:val="28"/>
          <w:rtl/>
        </w:rPr>
        <w:t xml:space="preserve"> את התשלום בסך </w:t>
      </w:r>
      <w:r w:rsidRPr="00F8712F">
        <w:rPr>
          <w:rFonts w:ascii="David" w:eastAsia="Times New Roman" w:hAnsi="David" w:cs="David" w:hint="cs"/>
          <w:b/>
          <w:bCs/>
          <w:sz w:val="28"/>
          <w:szCs w:val="28"/>
          <w:rtl/>
        </w:rPr>
        <w:t xml:space="preserve">32,000 ₪, </w:t>
      </w:r>
      <w:r w:rsidRPr="00F8712F">
        <w:rPr>
          <w:rFonts w:ascii="David" w:eastAsia="Times New Roman" w:hAnsi="David" w:cs="David" w:hint="cs"/>
          <w:sz w:val="28"/>
          <w:szCs w:val="28"/>
          <w:rtl/>
        </w:rPr>
        <w:t xml:space="preserve">הוא משך </w:t>
      </w:r>
      <w:proofErr w:type="spellStart"/>
      <w:r w:rsidRPr="00F8712F">
        <w:rPr>
          <w:rFonts w:ascii="David" w:eastAsia="Times New Roman" w:hAnsi="David" w:cs="David" w:hint="cs"/>
          <w:sz w:val="28"/>
          <w:szCs w:val="28"/>
          <w:rtl/>
        </w:rPr>
        <w:t>פקדונות</w:t>
      </w:r>
      <w:proofErr w:type="spellEnd"/>
      <w:r w:rsidRPr="00F8712F">
        <w:rPr>
          <w:rFonts w:ascii="David" w:eastAsia="Times New Roman" w:hAnsi="David" w:cs="David" w:hint="cs"/>
          <w:sz w:val="28"/>
          <w:szCs w:val="28"/>
          <w:rtl/>
        </w:rPr>
        <w:t xml:space="preserve"> כספיים מחשבונו שלו לעו"ש בסך כולל של </w:t>
      </w:r>
      <w:r w:rsidRPr="00F8712F">
        <w:rPr>
          <w:rFonts w:ascii="David" w:eastAsia="Times New Roman" w:hAnsi="David" w:cs="David" w:hint="cs"/>
          <w:b/>
          <w:bCs/>
          <w:sz w:val="28"/>
          <w:szCs w:val="28"/>
          <w:rtl/>
        </w:rPr>
        <w:t xml:space="preserve">33,000 ₪. </w:t>
      </w:r>
    </w:p>
    <w:p w14:paraId="38409F42" w14:textId="77777777" w:rsidR="00845BDE" w:rsidRDefault="007F2756" w:rsidP="00845BDE">
      <w:pPr>
        <w:pStyle w:val="a5"/>
        <w:shd w:val="clear" w:color="auto" w:fill="FFFFFF"/>
        <w:spacing w:after="0" w:line="360" w:lineRule="auto"/>
        <w:ind w:left="786"/>
        <w:jc w:val="both"/>
        <w:rPr>
          <w:rFonts w:ascii="David" w:eastAsia="Times New Roman" w:hAnsi="David" w:cs="David"/>
          <w:sz w:val="28"/>
          <w:szCs w:val="28"/>
          <w:rtl/>
        </w:rPr>
      </w:pPr>
      <w:r w:rsidRPr="00F8712F">
        <w:rPr>
          <w:rFonts w:ascii="David" w:eastAsia="Times New Roman" w:hAnsi="David" w:cs="David" w:hint="cs"/>
          <w:sz w:val="28"/>
          <w:szCs w:val="28"/>
          <w:rtl/>
        </w:rPr>
        <w:lastRenderedPageBreak/>
        <w:t xml:space="preserve">הנה כי כן, נראה בבירור שמקור כספי ההעברה לעו"ד יהושע </w:t>
      </w:r>
      <w:proofErr w:type="spellStart"/>
      <w:r w:rsidRPr="00F8712F">
        <w:rPr>
          <w:rFonts w:ascii="David" w:eastAsia="Times New Roman" w:hAnsi="David" w:cs="David" w:hint="cs"/>
          <w:sz w:val="28"/>
          <w:szCs w:val="28"/>
          <w:rtl/>
        </w:rPr>
        <w:t>רזניק</w:t>
      </w:r>
      <w:proofErr w:type="spellEnd"/>
      <w:r w:rsidRPr="00F8712F">
        <w:rPr>
          <w:rFonts w:ascii="David" w:eastAsia="Times New Roman" w:hAnsi="David" w:cs="David" w:hint="cs"/>
          <w:sz w:val="28"/>
          <w:szCs w:val="28"/>
          <w:rtl/>
        </w:rPr>
        <w:t xml:space="preserve"> הינו כספי מערער 2 שהיו מצויים בתוכנית פקדון</w:t>
      </w:r>
      <w:r w:rsidR="00845BDE">
        <w:rPr>
          <w:rFonts w:ascii="David" w:eastAsia="Times New Roman" w:hAnsi="David" w:cs="David" w:hint="cs"/>
          <w:sz w:val="28"/>
          <w:szCs w:val="28"/>
          <w:rtl/>
        </w:rPr>
        <w:t xml:space="preserve">, </w:t>
      </w:r>
      <w:r w:rsidRPr="00F8712F">
        <w:rPr>
          <w:rFonts w:ascii="David" w:eastAsia="Times New Roman" w:hAnsi="David" w:cs="David" w:hint="cs"/>
          <w:sz w:val="28"/>
          <w:szCs w:val="28"/>
          <w:rtl/>
        </w:rPr>
        <w:t>הופשרו</w:t>
      </w:r>
      <w:r w:rsidR="00F8712F" w:rsidRPr="00F8712F">
        <w:rPr>
          <w:rFonts w:ascii="David" w:eastAsia="Times New Roman" w:hAnsi="David" w:cs="David" w:hint="cs"/>
          <w:sz w:val="28"/>
          <w:szCs w:val="28"/>
          <w:rtl/>
        </w:rPr>
        <w:t xml:space="preserve"> והועברו לחשבון </w:t>
      </w:r>
      <w:proofErr w:type="spellStart"/>
      <w:r w:rsidR="00F8712F" w:rsidRPr="00F8712F">
        <w:rPr>
          <w:rFonts w:ascii="David" w:eastAsia="Times New Roman" w:hAnsi="David" w:cs="David" w:hint="cs"/>
          <w:sz w:val="28"/>
          <w:szCs w:val="28"/>
          <w:rtl/>
        </w:rPr>
        <w:t>העו"ש</w:t>
      </w:r>
      <w:proofErr w:type="spellEnd"/>
      <w:r w:rsidR="00F8712F" w:rsidRPr="00F8712F">
        <w:rPr>
          <w:rFonts w:ascii="David" w:eastAsia="Times New Roman" w:hAnsi="David" w:cs="David" w:hint="cs"/>
          <w:sz w:val="28"/>
          <w:szCs w:val="28"/>
          <w:rtl/>
        </w:rPr>
        <w:t xml:space="preserve"> של מערער 2 לשם העברתם לעו"ד </w:t>
      </w:r>
      <w:proofErr w:type="spellStart"/>
      <w:r w:rsidR="00F8712F" w:rsidRPr="00F8712F">
        <w:rPr>
          <w:rFonts w:ascii="David" w:eastAsia="Times New Roman" w:hAnsi="David" w:cs="David" w:hint="cs"/>
          <w:sz w:val="28"/>
          <w:szCs w:val="28"/>
          <w:rtl/>
        </w:rPr>
        <w:t>רזניק</w:t>
      </w:r>
      <w:proofErr w:type="spellEnd"/>
      <w:r w:rsidR="00F8712F" w:rsidRPr="00F8712F">
        <w:rPr>
          <w:rFonts w:ascii="David" w:eastAsia="Times New Roman" w:hAnsi="David" w:cs="David" w:hint="cs"/>
          <w:sz w:val="28"/>
          <w:szCs w:val="28"/>
          <w:rtl/>
        </w:rPr>
        <w:t xml:space="preserve">. </w:t>
      </w:r>
    </w:p>
    <w:p w14:paraId="206E6C86" w14:textId="4D5A237D" w:rsidR="00F8712F" w:rsidRDefault="00F8712F" w:rsidP="00845BDE">
      <w:pPr>
        <w:pStyle w:val="a5"/>
        <w:shd w:val="clear" w:color="auto" w:fill="FFFFFF"/>
        <w:spacing w:after="0" w:line="360" w:lineRule="auto"/>
        <w:ind w:left="786"/>
        <w:jc w:val="both"/>
        <w:rPr>
          <w:rFonts w:ascii="David" w:eastAsia="Times New Roman" w:hAnsi="David" w:cs="David"/>
          <w:sz w:val="28"/>
          <w:szCs w:val="28"/>
          <w:rtl/>
        </w:rPr>
      </w:pPr>
      <w:r w:rsidRPr="00F8712F">
        <w:rPr>
          <w:rFonts w:ascii="David" w:eastAsia="Times New Roman" w:hAnsi="David" w:cs="David" w:hint="cs"/>
          <w:sz w:val="28"/>
          <w:szCs w:val="28"/>
          <w:rtl/>
        </w:rPr>
        <w:t xml:space="preserve">משנשמט הבסיס העובדתי </w:t>
      </w:r>
      <w:r w:rsidR="00845BDE">
        <w:rPr>
          <w:rFonts w:ascii="David" w:eastAsia="Times New Roman" w:hAnsi="David" w:cs="David" w:hint="cs"/>
          <w:sz w:val="28"/>
          <w:szCs w:val="28"/>
          <w:rtl/>
        </w:rPr>
        <w:t xml:space="preserve">לפיו מערער 2 העביר כספים למערער 1 שמקורם בדוידי, </w:t>
      </w:r>
      <w:r w:rsidRPr="00F8712F">
        <w:rPr>
          <w:rFonts w:ascii="David" w:eastAsia="Times New Roman" w:hAnsi="David" w:cs="David" w:hint="cs"/>
          <w:sz w:val="28"/>
          <w:szCs w:val="28"/>
          <w:rtl/>
        </w:rPr>
        <w:t>נשמ</w:t>
      </w:r>
      <w:r w:rsidR="00D4636A">
        <w:rPr>
          <w:rFonts w:ascii="David" w:eastAsia="Times New Roman" w:hAnsi="David" w:cs="David" w:hint="cs"/>
          <w:sz w:val="28"/>
          <w:szCs w:val="28"/>
          <w:rtl/>
        </w:rPr>
        <w:t>טו</w:t>
      </w:r>
      <w:r w:rsidRPr="00F8712F">
        <w:rPr>
          <w:rFonts w:ascii="David" w:eastAsia="Times New Roman" w:hAnsi="David" w:cs="David" w:hint="cs"/>
          <w:sz w:val="28"/>
          <w:szCs w:val="28"/>
          <w:rtl/>
        </w:rPr>
        <w:t>, מיניה וביה</w:t>
      </w:r>
      <w:r>
        <w:rPr>
          <w:rFonts w:ascii="David" w:eastAsia="Times New Roman" w:hAnsi="David" w:cs="David" w:hint="cs"/>
          <w:sz w:val="28"/>
          <w:szCs w:val="28"/>
          <w:rtl/>
        </w:rPr>
        <w:t xml:space="preserve">, גם המסקנות מרחיקות לכת שהסיק </w:t>
      </w:r>
      <w:r w:rsidR="00CC34A4">
        <w:rPr>
          <w:rFonts w:ascii="David" w:eastAsia="Times New Roman" w:hAnsi="David" w:cs="David" w:hint="cs"/>
          <w:sz w:val="28"/>
          <w:szCs w:val="28"/>
          <w:rtl/>
        </w:rPr>
        <w:t>ביהמ</w:t>
      </w:r>
      <w:r w:rsidR="00CC34A4">
        <w:rPr>
          <w:rFonts w:ascii="David" w:eastAsia="Times New Roman" w:hAnsi="David" w:cs="David"/>
          <w:sz w:val="28"/>
          <w:szCs w:val="28"/>
          <w:rtl/>
        </w:rPr>
        <w:t>"</w:t>
      </w:r>
      <w:r w:rsidR="00CC34A4">
        <w:rPr>
          <w:rFonts w:ascii="David" w:eastAsia="Times New Roman" w:hAnsi="David" w:cs="David" w:hint="cs"/>
          <w:sz w:val="28"/>
          <w:szCs w:val="28"/>
          <w:rtl/>
        </w:rPr>
        <w:t>ש</w:t>
      </w:r>
      <w:r>
        <w:rPr>
          <w:rFonts w:ascii="David" w:eastAsia="Times New Roman" w:hAnsi="David" w:cs="David" w:hint="cs"/>
          <w:sz w:val="28"/>
          <w:szCs w:val="28"/>
          <w:rtl/>
        </w:rPr>
        <w:t xml:space="preserve"> קמא</w:t>
      </w:r>
      <w:r w:rsidR="00845BDE">
        <w:rPr>
          <w:rFonts w:ascii="David" w:eastAsia="Times New Roman" w:hAnsi="David" w:cs="David" w:hint="cs"/>
          <w:sz w:val="28"/>
          <w:szCs w:val="28"/>
          <w:rtl/>
        </w:rPr>
        <w:t xml:space="preserve"> לרעת שני המערערים.</w:t>
      </w:r>
      <w:r>
        <w:rPr>
          <w:rFonts w:ascii="David" w:eastAsia="Times New Roman" w:hAnsi="David" w:cs="David" w:hint="cs"/>
          <w:sz w:val="28"/>
          <w:szCs w:val="28"/>
          <w:rtl/>
        </w:rPr>
        <w:t xml:space="preserve"> </w:t>
      </w:r>
    </w:p>
    <w:p w14:paraId="16106162" w14:textId="77777777" w:rsidR="00677520" w:rsidRPr="00677520" w:rsidRDefault="00677520" w:rsidP="00677520">
      <w:pPr>
        <w:shd w:val="clear" w:color="auto" w:fill="FFFFFF"/>
        <w:spacing w:after="0" w:line="360" w:lineRule="auto"/>
        <w:jc w:val="both"/>
        <w:rPr>
          <w:rFonts w:ascii="David" w:eastAsia="Times New Roman" w:hAnsi="David" w:cs="David"/>
          <w:sz w:val="28"/>
          <w:szCs w:val="28"/>
        </w:rPr>
      </w:pPr>
    </w:p>
    <w:p w14:paraId="33524589" w14:textId="029DFA4B" w:rsidR="005564E8" w:rsidRPr="00677520" w:rsidRDefault="00F8712F" w:rsidP="00677520">
      <w:pPr>
        <w:pStyle w:val="a5"/>
        <w:numPr>
          <w:ilvl w:val="0"/>
          <w:numId w:val="23"/>
        </w:numPr>
        <w:shd w:val="clear" w:color="auto" w:fill="FFFFFF"/>
        <w:spacing w:after="0" w:line="360" w:lineRule="auto"/>
        <w:jc w:val="both"/>
        <w:rPr>
          <w:rFonts w:ascii="David" w:eastAsia="Times New Roman" w:hAnsi="David" w:cs="David"/>
          <w:sz w:val="28"/>
          <w:szCs w:val="28"/>
          <w:rtl/>
        </w:rPr>
      </w:pPr>
      <w:r w:rsidRPr="00F8712F">
        <w:rPr>
          <w:rFonts w:ascii="David" w:eastAsia="Times New Roman" w:hAnsi="David" w:cs="David" w:hint="cs"/>
          <w:sz w:val="28"/>
          <w:szCs w:val="28"/>
          <w:rtl/>
        </w:rPr>
        <w:t xml:space="preserve"> </w:t>
      </w:r>
      <w:r w:rsidR="00D4636A">
        <w:rPr>
          <w:rFonts w:ascii="David" w:eastAsia="Times New Roman" w:hAnsi="David" w:cs="David" w:hint="cs"/>
          <w:sz w:val="28"/>
          <w:szCs w:val="28"/>
          <w:rtl/>
        </w:rPr>
        <w:t>ביום 27/5/15 העביר מערער 2 לטובת מערער 1 סכום של 100,000 ₪</w:t>
      </w:r>
      <w:r w:rsidR="001E53FB">
        <w:rPr>
          <w:rFonts w:ascii="David" w:eastAsia="Times New Roman" w:hAnsi="David" w:cs="David" w:hint="cs"/>
          <w:sz w:val="28"/>
          <w:szCs w:val="28"/>
          <w:rtl/>
        </w:rPr>
        <w:t xml:space="preserve">. </w:t>
      </w:r>
      <w:r w:rsidR="00CC34A4">
        <w:rPr>
          <w:rFonts w:ascii="David" w:eastAsia="Times New Roman" w:hAnsi="David" w:cs="David" w:hint="cs"/>
          <w:sz w:val="28"/>
          <w:szCs w:val="28"/>
          <w:rtl/>
        </w:rPr>
        <w:t>ביהמ</w:t>
      </w:r>
      <w:r w:rsidR="00CC34A4">
        <w:rPr>
          <w:rFonts w:ascii="David" w:eastAsia="Times New Roman" w:hAnsi="David" w:cs="David"/>
          <w:sz w:val="28"/>
          <w:szCs w:val="28"/>
          <w:rtl/>
        </w:rPr>
        <w:t>"</w:t>
      </w:r>
      <w:r w:rsidR="00CC34A4">
        <w:rPr>
          <w:rFonts w:ascii="David" w:eastAsia="Times New Roman" w:hAnsi="David" w:cs="David" w:hint="cs"/>
          <w:sz w:val="28"/>
          <w:szCs w:val="28"/>
          <w:rtl/>
        </w:rPr>
        <w:t>ש</w:t>
      </w:r>
      <w:r w:rsidR="001E53FB">
        <w:rPr>
          <w:rFonts w:ascii="David" w:eastAsia="Times New Roman" w:hAnsi="David" w:cs="David" w:hint="cs"/>
          <w:sz w:val="28"/>
          <w:szCs w:val="28"/>
          <w:rtl/>
        </w:rPr>
        <w:t xml:space="preserve"> קמא קבע כי העברה כספית זו מקורה במת</w:t>
      </w:r>
      <w:r w:rsidR="00CC34A4">
        <w:rPr>
          <w:rFonts w:ascii="David" w:eastAsia="Times New Roman" w:hAnsi="David" w:cs="David" w:hint="cs"/>
          <w:sz w:val="28"/>
          <w:szCs w:val="28"/>
          <w:rtl/>
        </w:rPr>
        <w:t xml:space="preserve">ן </w:t>
      </w:r>
      <w:r w:rsidR="001E53FB">
        <w:rPr>
          <w:rFonts w:ascii="David" w:eastAsia="Times New Roman" w:hAnsi="David" w:cs="David" w:hint="cs"/>
          <w:sz w:val="28"/>
          <w:szCs w:val="28"/>
          <w:rtl/>
        </w:rPr>
        <w:t>שוחד ע"י דוידי וקבלתו ע"י מערער 2 במסגרת תשלום השוחד בסך 150,000 ₪ ששולם למערער</w:t>
      </w:r>
      <w:r w:rsidR="00845BDE">
        <w:rPr>
          <w:rFonts w:ascii="David" w:eastAsia="Times New Roman" w:hAnsi="David" w:cs="David" w:hint="cs"/>
          <w:sz w:val="28"/>
          <w:szCs w:val="28"/>
          <w:rtl/>
        </w:rPr>
        <w:t xml:space="preserve"> 2</w:t>
      </w:r>
      <w:r w:rsidR="001E53FB">
        <w:rPr>
          <w:rFonts w:ascii="David" w:eastAsia="Times New Roman" w:hAnsi="David" w:cs="David" w:hint="cs"/>
          <w:sz w:val="28"/>
          <w:szCs w:val="28"/>
          <w:rtl/>
        </w:rPr>
        <w:t xml:space="preserve"> עבור מערער 1 במסגרת עסקת </w:t>
      </w:r>
      <w:proofErr w:type="spellStart"/>
      <w:r w:rsidR="001E53FB">
        <w:rPr>
          <w:rFonts w:ascii="David" w:eastAsia="Times New Roman" w:hAnsi="David" w:cs="David" w:hint="cs"/>
          <w:sz w:val="28"/>
          <w:szCs w:val="28"/>
          <w:rtl/>
        </w:rPr>
        <w:t>יעדים.</w:t>
      </w:r>
      <w:r w:rsidR="001E53FB" w:rsidRPr="00677520">
        <w:rPr>
          <w:rFonts w:ascii="David" w:eastAsia="Times New Roman" w:hAnsi="David" w:cs="David" w:hint="cs"/>
          <w:sz w:val="28"/>
          <w:szCs w:val="28"/>
          <w:rtl/>
        </w:rPr>
        <w:t>ואולם</w:t>
      </w:r>
      <w:proofErr w:type="spellEnd"/>
      <w:r w:rsidR="001E53FB" w:rsidRPr="00677520">
        <w:rPr>
          <w:rFonts w:ascii="David" w:eastAsia="Times New Roman" w:hAnsi="David" w:cs="David" w:hint="cs"/>
          <w:sz w:val="28"/>
          <w:szCs w:val="28"/>
          <w:rtl/>
        </w:rPr>
        <w:t xml:space="preserve">, כפי שנראה להלן, אפילו הקביעה כי ההעברה הזו מקורה בכספים </w:t>
      </w:r>
      <w:r w:rsidR="005564E8" w:rsidRPr="00677520">
        <w:rPr>
          <w:rFonts w:ascii="David" w:eastAsia="Times New Roman" w:hAnsi="David" w:cs="David" w:hint="cs"/>
          <w:sz w:val="28"/>
          <w:szCs w:val="28"/>
          <w:rtl/>
        </w:rPr>
        <w:t xml:space="preserve">שקיבל מערער 2 מדוידי </w:t>
      </w:r>
      <w:r w:rsidR="005564E8" w:rsidRPr="00677520">
        <w:rPr>
          <w:rFonts w:ascii="David" w:eastAsia="Times New Roman" w:hAnsi="David" w:cs="David"/>
          <w:sz w:val="28"/>
          <w:szCs w:val="28"/>
          <w:rtl/>
        </w:rPr>
        <w:t>–</w:t>
      </w:r>
      <w:r w:rsidR="005564E8" w:rsidRPr="00677520">
        <w:rPr>
          <w:rFonts w:ascii="David" w:eastAsia="Times New Roman" w:hAnsi="David" w:cs="David" w:hint="cs"/>
          <w:sz w:val="28"/>
          <w:szCs w:val="28"/>
          <w:rtl/>
        </w:rPr>
        <w:t xml:space="preserve"> רחוקה מלהיות נכונה.</w:t>
      </w:r>
      <w:r w:rsidR="00677520">
        <w:rPr>
          <w:rFonts w:ascii="David" w:eastAsia="Times New Roman" w:hAnsi="David" w:cs="David" w:hint="cs"/>
          <w:sz w:val="28"/>
          <w:szCs w:val="28"/>
          <w:rtl/>
        </w:rPr>
        <w:t xml:space="preserve"> </w:t>
      </w:r>
      <w:r w:rsidR="005564E8" w:rsidRPr="00677520">
        <w:rPr>
          <w:rFonts w:ascii="David" w:eastAsia="Times New Roman" w:hAnsi="David" w:cs="David" w:hint="cs"/>
          <w:sz w:val="28"/>
          <w:szCs w:val="28"/>
          <w:rtl/>
        </w:rPr>
        <w:t xml:space="preserve">נביט עתה על ההכנסות הכספיות לחשבונו של מערער 2 עובר להעברה הכספית של 100,000 ₪ </w:t>
      </w:r>
      <w:r w:rsidR="00845BDE" w:rsidRPr="00677520">
        <w:rPr>
          <w:rFonts w:ascii="David" w:eastAsia="Times New Roman" w:hAnsi="David" w:cs="David" w:hint="cs"/>
          <w:sz w:val="28"/>
          <w:szCs w:val="28"/>
          <w:rtl/>
        </w:rPr>
        <w:t xml:space="preserve">ממערער 2 </w:t>
      </w:r>
      <w:r w:rsidR="005564E8" w:rsidRPr="00677520">
        <w:rPr>
          <w:rFonts w:ascii="David" w:eastAsia="Times New Roman" w:hAnsi="David" w:cs="David" w:hint="cs"/>
          <w:sz w:val="28"/>
          <w:szCs w:val="28"/>
          <w:rtl/>
        </w:rPr>
        <w:t xml:space="preserve">למערער 1 ב- 27/5/15. </w:t>
      </w:r>
    </w:p>
    <w:p w14:paraId="2E5914DD" w14:textId="77777777" w:rsidR="00677520" w:rsidRDefault="00677520" w:rsidP="001E53FB">
      <w:pPr>
        <w:pStyle w:val="a5"/>
        <w:shd w:val="clear" w:color="auto" w:fill="FFFFFF"/>
        <w:spacing w:after="0" w:line="360" w:lineRule="auto"/>
        <w:ind w:left="786"/>
        <w:jc w:val="both"/>
        <w:rPr>
          <w:rFonts w:ascii="David" w:eastAsia="Times New Roman" w:hAnsi="David" w:cs="David"/>
          <w:sz w:val="28"/>
          <w:szCs w:val="28"/>
          <w:rtl/>
        </w:rPr>
      </w:pPr>
    </w:p>
    <w:p w14:paraId="623943D2" w14:textId="2A822BDE" w:rsidR="005564E8" w:rsidRDefault="005564E8" w:rsidP="005564E8">
      <w:pPr>
        <w:pStyle w:val="a5"/>
        <w:numPr>
          <w:ilvl w:val="0"/>
          <w:numId w:val="24"/>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ב</w:t>
      </w:r>
      <w:r w:rsidR="00845BDE">
        <w:rPr>
          <w:rFonts w:ascii="David" w:eastAsia="Times New Roman" w:hAnsi="David" w:cs="David" w:hint="cs"/>
          <w:sz w:val="28"/>
          <w:szCs w:val="28"/>
          <w:rtl/>
        </w:rPr>
        <w:t>-</w:t>
      </w:r>
      <w:r>
        <w:rPr>
          <w:rFonts w:ascii="David" w:eastAsia="Times New Roman" w:hAnsi="David" w:cs="David" w:hint="cs"/>
          <w:sz w:val="28"/>
          <w:szCs w:val="28"/>
          <w:rtl/>
        </w:rPr>
        <w:t xml:space="preserve">7/5/15 זוכה חשבונו בסך של 100,000 ₪ שמקורו אינו דוידי אלא </w:t>
      </w:r>
      <w:r w:rsidR="00845BDE">
        <w:rPr>
          <w:rFonts w:ascii="David" w:eastAsia="Times New Roman" w:hAnsi="David" w:cs="David" w:hint="cs"/>
          <w:sz w:val="28"/>
          <w:szCs w:val="28"/>
          <w:rtl/>
        </w:rPr>
        <w:t>ב</w:t>
      </w:r>
      <w:r>
        <w:rPr>
          <w:rFonts w:ascii="David" w:eastAsia="Times New Roman" w:hAnsi="David" w:cs="David" w:hint="cs"/>
          <w:sz w:val="28"/>
          <w:szCs w:val="28"/>
          <w:rtl/>
        </w:rPr>
        <w:t xml:space="preserve">הלוואה שקיבל </w:t>
      </w:r>
      <w:r w:rsidR="00845BDE">
        <w:rPr>
          <w:rFonts w:ascii="David" w:eastAsia="Times New Roman" w:hAnsi="David" w:cs="David" w:hint="cs"/>
          <w:sz w:val="28"/>
          <w:szCs w:val="28"/>
          <w:rtl/>
        </w:rPr>
        <w:t xml:space="preserve">מערער 2 </w:t>
      </w:r>
      <w:r>
        <w:rPr>
          <w:rFonts w:ascii="David" w:eastAsia="Times New Roman" w:hAnsi="David" w:cs="David" w:hint="cs"/>
          <w:sz w:val="28"/>
          <w:szCs w:val="28"/>
          <w:rtl/>
        </w:rPr>
        <w:t>מהבנק.</w:t>
      </w:r>
    </w:p>
    <w:p w14:paraId="5ED9A55C" w14:textId="77777777" w:rsidR="00677520" w:rsidRDefault="00677520" w:rsidP="00677520">
      <w:pPr>
        <w:pStyle w:val="a5"/>
        <w:shd w:val="clear" w:color="auto" w:fill="FFFFFF"/>
        <w:spacing w:after="0" w:line="360" w:lineRule="auto"/>
        <w:ind w:left="1146"/>
        <w:jc w:val="both"/>
        <w:rPr>
          <w:rFonts w:ascii="David" w:eastAsia="Times New Roman" w:hAnsi="David" w:cs="David"/>
          <w:sz w:val="28"/>
          <w:szCs w:val="28"/>
        </w:rPr>
      </w:pPr>
    </w:p>
    <w:p w14:paraId="30E1A546" w14:textId="5EA99FB9" w:rsidR="005564E8" w:rsidRDefault="005564E8" w:rsidP="005564E8">
      <w:pPr>
        <w:pStyle w:val="a5"/>
        <w:numPr>
          <w:ilvl w:val="0"/>
          <w:numId w:val="24"/>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ב</w:t>
      </w:r>
      <w:r w:rsidR="00845BDE">
        <w:rPr>
          <w:rFonts w:ascii="David" w:eastAsia="Times New Roman" w:hAnsi="David" w:cs="David" w:hint="cs"/>
          <w:sz w:val="28"/>
          <w:szCs w:val="28"/>
          <w:rtl/>
        </w:rPr>
        <w:t>-</w:t>
      </w:r>
      <w:r>
        <w:rPr>
          <w:rFonts w:ascii="David" w:eastAsia="Times New Roman" w:hAnsi="David" w:cs="David" w:hint="cs"/>
          <w:sz w:val="28"/>
          <w:szCs w:val="28"/>
          <w:rtl/>
        </w:rPr>
        <w:t>19/5/15 זוכה חשבונו בסכום של 20,000 ₪ שמקורו ב</w:t>
      </w:r>
      <w:r w:rsidR="00845BDE">
        <w:rPr>
          <w:rFonts w:ascii="David" w:eastAsia="Times New Roman" w:hAnsi="David" w:cs="David" w:hint="cs"/>
          <w:sz w:val="28"/>
          <w:szCs w:val="28"/>
          <w:rtl/>
        </w:rPr>
        <w:t>הלוואה שקיבל מבן משפחתו אלי</w:t>
      </w:r>
      <w:r>
        <w:rPr>
          <w:rFonts w:ascii="David" w:eastAsia="Times New Roman" w:hAnsi="David" w:cs="David" w:hint="cs"/>
          <w:sz w:val="28"/>
          <w:szCs w:val="28"/>
          <w:rtl/>
        </w:rPr>
        <w:t xml:space="preserve"> שמעוני</w:t>
      </w:r>
      <w:r w:rsidR="00845BDE">
        <w:rPr>
          <w:rFonts w:ascii="David" w:eastAsia="Times New Roman" w:hAnsi="David" w:cs="David" w:hint="cs"/>
          <w:sz w:val="28"/>
          <w:szCs w:val="28"/>
          <w:rtl/>
        </w:rPr>
        <w:t>.</w:t>
      </w:r>
    </w:p>
    <w:p w14:paraId="2C616C3A" w14:textId="77777777" w:rsidR="00677520" w:rsidRPr="00677520" w:rsidRDefault="00677520" w:rsidP="00677520">
      <w:pPr>
        <w:shd w:val="clear" w:color="auto" w:fill="FFFFFF"/>
        <w:spacing w:after="0" w:line="360" w:lineRule="auto"/>
        <w:jc w:val="both"/>
        <w:rPr>
          <w:rFonts w:ascii="David" w:eastAsia="Times New Roman" w:hAnsi="David" w:cs="David"/>
          <w:sz w:val="28"/>
          <w:szCs w:val="28"/>
        </w:rPr>
      </w:pPr>
    </w:p>
    <w:p w14:paraId="7C227AC2" w14:textId="1B1975A2" w:rsidR="005564E8" w:rsidRDefault="005564E8" w:rsidP="005564E8">
      <w:pPr>
        <w:pStyle w:val="a5"/>
        <w:numPr>
          <w:ilvl w:val="0"/>
          <w:numId w:val="24"/>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ב</w:t>
      </w:r>
      <w:r w:rsidR="00845BDE">
        <w:rPr>
          <w:rFonts w:ascii="David" w:eastAsia="Times New Roman" w:hAnsi="David" w:cs="David" w:hint="cs"/>
          <w:sz w:val="28"/>
          <w:szCs w:val="28"/>
          <w:rtl/>
        </w:rPr>
        <w:t xml:space="preserve">- </w:t>
      </w:r>
      <w:r>
        <w:rPr>
          <w:rFonts w:ascii="David" w:eastAsia="Times New Roman" w:hAnsi="David" w:cs="David" w:hint="cs"/>
          <w:sz w:val="28"/>
          <w:szCs w:val="28"/>
          <w:rtl/>
        </w:rPr>
        <w:t>20/5/15 זוכה חשבונו בסך של 142,500 ₪ שהינו דמי</w:t>
      </w:r>
      <w:r w:rsidR="00E836B9">
        <w:rPr>
          <w:rFonts w:ascii="David" w:eastAsia="Times New Roman" w:hAnsi="David" w:cs="David" w:hint="cs"/>
          <w:sz w:val="28"/>
          <w:szCs w:val="28"/>
          <w:rtl/>
        </w:rPr>
        <w:t xml:space="preserve"> התיווך שקבל מדוידי בעבור עסקת יעדים, בניכוי מס במקור.</w:t>
      </w:r>
    </w:p>
    <w:p w14:paraId="3AC284FE" w14:textId="77777777" w:rsidR="00677520" w:rsidRPr="00677520" w:rsidRDefault="00677520" w:rsidP="00677520">
      <w:pPr>
        <w:shd w:val="clear" w:color="auto" w:fill="FFFFFF"/>
        <w:spacing w:after="0" w:line="360" w:lineRule="auto"/>
        <w:jc w:val="both"/>
        <w:rPr>
          <w:rFonts w:ascii="David" w:eastAsia="Times New Roman" w:hAnsi="David" w:cs="David"/>
          <w:sz w:val="28"/>
          <w:szCs w:val="28"/>
        </w:rPr>
      </w:pPr>
    </w:p>
    <w:p w14:paraId="5D8A7044" w14:textId="02660D41" w:rsidR="00E836B9" w:rsidRDefault="00E836B9" w:rsidP="005564E8">
      <w:pPr>
        <w:pStyle w:val="a5"/>
        <w:numPr>
          <w:ilvl w:val="0"/>
          <w:numId w:val="24"/>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ב- 25.5.15 זוכה חשבונו בסך של 30,000 ₪ שמקורו ב</w:t>
      </w:r>
      <w:r w:rsidR="00845BDE">
        <w:rPr>
          <w:rFonts w:ascii="David" w:eastAsia="Times New Roman" w:hAnsi="David" w:cs="David" w:hint="cs"/>
          <w:sz w:val="28"/>
          <w:szCs w:val="28"/>
          <w:rtl/>
        </w:rPr>
        <w:t xml:space="preserve">הלוואות שקיבל מדרור </w:t>
      </w:r>
      <w:proofErr w:type="spellStart"/>
      <w:r w:rsidR="00845BDE">
        <w:rPr>
          <w:rFonts w:ascii="David" w:eastAsia="Times New Roman" w:hAnsi="David" w:cs="David" w:hint="cs"/>
          <w:sz w:val="28"/>
          <w:szCs w:val="28"/>
          <w:rtl/>
        </w:rPr>
        <w:t>אלמלם</w:t>
      </w:r>
      <w:proofErr w:type="spellEnd"/>
      <w:r w:rsidR="00845BDE">
        <w:rPr>
          <w:rFonts w:ascii="David" w:eastAsia="Times New Roman" w:hAnsi="David" w:cs="David" w:hint="cs"/>
          <w:sz w:val="28"/>
          <w:szCs w:val="28"/>
          <w:rtl/>
        </w:rPr>
        <w:t xml:space="preserve"> ודוד שמעוני. </w:t>
      </w:r>
    </w:p>
    <w:p w14:paraId="41DF1ADC" w14:textId="306929DD" w:rsidR="00E836B9" w:rsidRDefault="00E836B9" w:rsidP="00E836B9">
      <w:pPr>
        <w:pStyle w:val="a5"/>
        <w:shd w:val="clear" w:color="auto" w:fill="FFFFFF"/>
        <w:spacing w:after="0" w:line="360" w:lineRule="auto"/>
        <w:ind w:left="1146"/>
        <w:jc w:val="both"/>
        <w:rPr>
          <w:rFonts w:ascii="David" w:eastAsia="Times New Roman" w:hAnsi="David" w:cs="David"/>
          <w:sz w:val="28"/>
          <w:szCs w:val="28"/>
          <w:rtl/>
        </w:rPr>
      </w:pPr>
      <w:r>
        <w:rPr>
          <w:rFonts w:ascii="David" w:eastAsia="Times New Roman" w:hAnsi="David" w:cs="David" w:hint="cs"/>
          <w:sz w:val="28"/>
          <w:szCs w:val="28"/>
          <w:rtl/>
        </w:rPr>
        <w:t>הנה כי כן</w:t>
      </w:r>
      <w:r w:rsidR="00486004">
        <w:rPr>
          <w:rFonts w:ascii="David" w:eastAsia="Times New Roman" w:hAnsi="David" w:cs="David" w:hint="cs"/>
          <w:sz w:val="28"/>
          <w:szCs w:val="28"/>
          <w:rtl/>
        </w:rPr>
        <w:t>,</w:t>
      </w:r>
      <w:r>
        <w:rPr>
          <w:rFonts w:ascii="David" w:eastAsia="Times New Roman" w:hAnsi="David" w:cs="David" w:hint="cs"/>
          <w:sz w:val="28"/>
          <w:szCs w:val="28"/>
          <w:rtl/>
        </w:rPr>
        <w:t xml:space="preserve"> בתקופה קצרה יחסית, עובר ליום </w:t>
      </w:r>
      <w:r w:rsidR="00486004">
        <w:rPr>
          <w:rFonts w:ascii="David" w:eastAsia="Times New Roman" w:hAnsi="David" w:cs="David" w:hint="cs"/>
          <w:sz w:val="28"/>
          <w:szCs w:val="28"/>
          <w:rtl/>
        </w:rPr>
        <w:t>27/5/15</w:t>
      </w:r>
      <w:r>
        <w:rPr>
          <w:rFonts w:ascii="David" w:eastAsia="Times New Roman" w:hAnsi="David" w:cs="David" w:hint="cs"/>
          <w:sz w:val="28"/>
          <w:szCs w:val="28"/>
          <w:rtl/>
        </w:rPr>
        <w:t xml:space="preserve"> זוכה חשבונו של מערער 2 בסכום כולל של 292,500 ₪ כאשר רק סך של 142,500 מקורו בדוידי כתשלום עבור עסקת יעדים.</w:t>
      </w:r>
    </w:p>
    <w:p w14:paraId="4F18EFD4" w14:textId="1968C318" w:rsidR="00E836B9" w:rsidRDefault="00E836B9" w:rsidP="00E836B9">
      <w:pPr>
        <w:pStyle w:val="a5"/>
        <w:shd w:val="clear" w:color="auto" w:fill="FFFFFF"/>
        <w:spacing w:after="0" w:line="360" w:lineRule="auto"/>
        <w:ind w:left="1146"/>
        <w:jc w:val="both"/>
        <w:rPr>
          <w:rFonts w:ascii="David" w:eastAsia="Times New Roman" w:hAnsi="David" w:cs="David"/>
          <w:sz w:val="28"/>
          <w:szCs w:val="28"/>
          <w:rtl/>
        </w:rPr>
      </w:pPr>
      <w:r>
        <w:rPr>
          <w:rFonts w:ascii="David" w:eastAsia="Times New Roman" w:hAnsi="David" w:cs="David" w:hint="cs"/>
          <w:sz w:val="28"/>
          <w:szCs w:val="28"/>
          <w:rtl/>
        </w:rPr>
        <w:t>לפיכך</w:t>
      </w:r>
      <w:r w:rsidR="00486004">
        <w:rPr>
          <w:rFonts w:ascii="David" w:eastAsia="Times New Roman" w:hAnsi="David" w:cs="David" w:hint="cs"/>
          <w:sz w:val="28"/>
          <w:szCs w:val="28"/>
          <w:rtl/>
        </w:rPr>
        <w:t xml:space="preserve">, </w:t>
      </w:r>
      <w:r>
        <w:rPr>
          <w:rFonts w:ascii="David" w:eastAsia="Times New Roman" w:hAnsi="David" w:cs="David" w:hint="cs"/>
          <w:sz w:val="28"/>
          <w:szCs w:val="28"/>
          <w:rtl/>
        </w:rPr>
        <w:t>בשום אופן לא ניתן היה "לצבוע" בוודאות את סך ה-100,000 ₪ שהועברו ממערער 2 למערער 1 ב-27</w:t>
      </w:r>
      <w:r w:rsidR="00486004">
        <w:rPr>
          <w:rFonts w:ascii="David" w:eastAsia="Times New Roman" w:hAnsi="David" w:cs="David" w:hint="cs"/>
          <w:sz w:val="28"/>
          <w:szCs w:val="28"/>
          <w:rtl/>
        </w:rPr>
        <w:t>/</w:t>
      </w:r>
      <w:r>
        <w:rPr>
          <w:rFonts w:ascii="David" w:eastAsia="Times New Roman" w:hAnsi="David" w:cs="David" w:hint="cs"/>
          <w:sz w:val="28"/>
          <w:szCs w:val="28"/>
          <w:rtl/>
        </w:rPr>
        <w:t>5</w:t>
      </w:r>
      <w:r w:rsidR="00486004">
        <w:rPr>
          <w:rFonts w:ascii="David" w:eastAsia="Times New Roman" w:hAnsi="David" w:cs="David" w:hint="cs"/>
          <w:sz w:val="28"/>
          <w:szCs w:val="28"/>
          <w:rtl/>
        </w:rPr>
        <w:t>/</w:t>
      </w:r>
      <w:r>
        <w:rPr>
          <w:rFonts w:ascii="David" w:eastAsia="Times New Roman" w:hAnsi="David" w:cs="David" w:hint="cs"/>
          <w:sz w:val="28"/>
          <w:szCs w:val="28"/>
          <w:rtl/>
        </w:rPr>
        <w:t>15 ב"צבעי דוידי".</w:t>
      </w:r>
    </w:p>
    <w:p w14:paraId="63111DDF" w14:textId="77777777" w:rsidR="00486004" w:rsidRDefault="00486004" w:rsidP="00E836B9">
      <w:pPr>
        <w:pStyle w:val="a5"/>
        <w:shd w:val="clear" w:color="auto" w:fill="FFFFFF"/>
        <w:spacing w:after="0" w:line="360" w:lineRule="auto"/>
        <w:ind w:left="1146"/>
        <w:jc w:val="both"/>
        <w:rPr>
          <w:rFonts w:ascii="David" w:eastAsia="Times New Roman" w:hAnsi="David" w:cs="David"/>
          <w:sz w:val="28"/>
          <w:szCs w:val="28"/>
          <w:rtl/>
        </w:rPr>
      </w:pPr>
    </w:p>
    <w:p w14:paraId="78DC134B" w14:textId="73E36A34" w:rsidR="00E836B9" w:rsidRDefault="00E836B9" w:rsidP="00E836B9">
      <w:pPr>
        <w:pStyle w:val="a5"/>
        <w:numPr>
          <w:ilvl w:val="0"/>
          <w:numId w:val="23"/>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הוא הדין לגבי סכום נוסף של 45,000 ₪ שהעביר מערער 2 למערער 1 ביום 2</w:t>
      </w:r>
      <w:r w:rsidR="00486004">
        <w:rPr>
          <w:rFonts w:ascii="David" w:eastAsia="Times New Roman" w:hAnsi="David" w:cs="David" w:hint="cs"/>
          <w:sz w:val="28"/>
          <w:szCs w:val="28"/>
          <w:rtl/>
        </w:rPr>
        <w:t>/</w:t>
      </w:r>
      <w:r>
        <w:rPr>
          <w:rFonts w:ascii="David" w:eastAsia="Times New Roman" w:hAnsi="David" w:cs="David" w:hint="cs"/>
          <w:sz w:val="28"/>
          <w:szCs w:val="28"/>
          <w:rtl/>
        </w:rPr>
        <w:t>6</w:t>
      </w:r>
      <w:r w:rsidR="00486004">
        <w:rPr>
          <w:rFonts w:ascii="David" w:eastAsia="Times New Roman" w:hAnsi="David" w:cs="David" w:hint="cs"/>
          <w:sz w:val="28"/>
          <w:szCs w:val="28"/>
          <w:rtl/>
        </w:rPr>
        <w:t>/</w:t>
      </w:r>
      <w:r>
        <w:rPr>
          <w:rFonts w:ascii="David" w:eastAsia="Times New Roman" w:hAnsi="David" w:cs="David" w:hint="cs"/>
          <w:sz w:val="28"/>
          <w:szCs w:val="28"/>
          <w:rtl/>
        </w:rPr>
        <w:t>15.  גם לגביו קבע ביהמ"ש קמא באופן לא ברור שמקור</w:t>
      </w:r>
      <w:r w:rsidR="00486004">
        <w:rPr>
          <w:rFonts w:ascii="David" w:eastAsia="Times New Roman" w:hAnsi="David" w:cs="David" w:hint="cs"/>
          <w:sz w:val="28"/>
          <w:szCs w:val="28"/>
          <w:rtl/>
        </w:rPr>
        <w:t>ו</w:t>
      </w:r>
      <w:r>
        <w:rPr>
          <w:rFonts w:ascii="David" w:eastAsia="Times New Roman" w:hAnsi="David" w:cs="David" w:hint="cs"/>
          <w:sz w:val="28"/>
          <w:szCs w:val="28"/>
          <w:rtl/>
        </w:rPr>
        <w:t xml:space="preserve"> </w:t>
      </w:r>
      <w:r w:rsidR="00486004">
        <w:rPr>
          <w:rFonts w:ascii="David" w:eastAsia="Times New Roman" w:hAnsi="David" w:cs="David" w:hint="cs"/>
          <w:sz w:val="28"/>
          <w:szCs w:val="28"/>
          <w:rtl/>
        </w:rPr>
        <w:t>ב</w:t>
      </w:r>
      <w:r>
        <w:rPr>
          <w:rFonts w:ascii="David" w:eastAsia="Times New Roman" w:hAnsi="David" w:cs="David" w:hint="cs"/>
          <w:sz w:val="28"/>
          <w:szCs w:val="28"/>
          <w:rtl/>
        </w:rPr>
        <w:t>כספי העבר</w:t>
      </w:r>
      <w:r w:rsidR="00486004">
        <w:rPr>
          <w:rFonts w:ascii="David" w:eastAsia="Times New Roman" w:hAnsi="David" w:cs="David" w:hint="cs"/>
          <w:sz w:val="28"/>
          <w:szCs w:val="28"/>
          <w:rtl/>
        </w:rPr>
        <w:t xml:space="preserve">ת </w:t>
      </w:r>
      <w:r>
        <w:rPr>
          <w:rFonts w:ascii="David" w:eastAsia="Times New Roman" w:hAnsi="David" w:cs="David" w:hint="cs"/>
          <w:sz w:val="28"/>
          <w:szCs w:val="28"/>
          <w:rtl/>
        </w:rPr>
        <w:t xml:space="preserve"> 150,000 ₪ שקבל מערער 2 מדוידי ב-20.5.15</w:t>
      </w:r>
      <w:r w:rsidR="00486004">
        <w:rPr>
          <w:rFonts w:ascii="David" w:eastAsia="Times New Roman" w:hAnsi="David" w:cs="David" w:hint="cs"/>
          <w:sz w:val="28"/>
          <w:szCs w:val="28"/>
          <w:rtl/>
        </w:rPr>
        <w:t>, בגין עסקת יעדים.</w:t>
      </w:r>
    </w:p>
    <w:p w14:paraId="01813272" w14:textId="02061AC3" w:rsidR="003B6D6D" w:rsidRPr="00677520" w:rsidRDefault="00E836B9" w:rsidP="00677520">
      <w:pPr>
        <w:pStyle w:val="a5"/>
        <w:shd w:val="clear" w:color="auto" w:fill="FFFFFF"/>
        <w:spacing w:after="0" w:line="360" w:lineRule="auto"/>
        <w:ind w:left="786"/>
        <w:jc w:val="both"/>
        <w:rPr>
          <w:rFonts w:ascii="David" w:eastAsia="Times New Roman" w:hAnsi="David" w:cs="David"/>
          <w:sz w:val="28"/>
          <w:szCs w:val="28"/>
          <w:rtl/>
        </w:rPr>
      </w:pPr>
      <w:r>
        <w:rPr>
          <w:rFonts w:ascii="David" w:eastAsia="Times New Roman" w:hAnsi="David" w:cs="David" w:hint="cs"/>
          <w:sz w:val="28"/>
          <w:szCs w:val="28"/>
          <w:rtl/>
        </w:rPr>
        <w:lastRenderedPageBreak/>
        <w:t>מאותם הטעמים שציינו לעיל ולפיהם לא ניתן ל"צבוע" את ההעברה בסך 100,000 ₪ מיום 27.5.15.</w:t>
      </w:r>
      <w:r w:rsidR="003B6D6D">
        <w:rPr>
          <w:rFonts w:ascii="David" w:eastAsia="Times New Roman" w:hAnsi="David" w:cs="David" w:hint="cs"/>
          <w:sz w:val="28"/>
          <w:szCs w:val="28"/>
          <w:rtl/>
        </w:rPr>
        <w:t xml:space="preserve"> ב" צבעי דוידי" , לא ניתן לצבוע גם את ההעברה בסך 45,000 מיום 2.6.15</w:t>
      </w:r>
      <w:r w:rsidR="00486004">
        <w:rPr>
          <w:rFonts w:ascii="David" w:eastAsia="Times New Roman" w:hAnsi="David" w:cs="David" w:hint="cs"/>
          <w:sz w:val="28"/>
          <w:szCs w:val="28"/>
          <w:rtl/>
        </w:rPr>
        <w:t xml:space="preserve"> ב"צבעי דוידי".</w:t>
      </w:r>
      <w:r w:rsidR="00677520">
        <w:rPr>
          <w:rFonts w:ascii="David" w:eastAsia="Times New Roman" w:hAnsi="David" w:cs="David" w:hint="cs"/>
          <w:sz w:val="28"/>
          <w:szCs w:val="28"/>
          <w:rtl/>
        </w:rPr>
        <w:t xml:space="preserve"> </w:t>
      </w:r>
      <w:r w:rsidR="003B6D6D" w:rsidRPr="00677520">
        <w:rPr>
          <w:rFonts w:ascii="David" w:eastAsia="Times New Roman" w:hAnsi="David" w:cs="David" w:hint="cs"/>
          <w:sz w:val="28"/>
          <w:szCs w:val="28"/>
          <w:rtl/>
        </w:rPr>
        <w:t xml:space="preserve">יתירה מזו, בתאריך 2.6.15 זוכה חשבון </w:t>
      </w:r>
      <w:proofErr w:type="spellStart"/>
      <w:r w:rsidR="003B6D6D" w:rsidRPr="00677520">
        <w:rPr>
          <w:rFonts w:ascii="David" w:eastAsia="Times New Roman" w:hAnsi="David" w:cs="David" w:hint="cs"/>
          <w:sz w:val="28"/>
          <w:szCs w:val="28"/>
          <w:rtl/>
        </w:rPr>
        <w:t>העו"ש</w:t>
      </w:r>
      <w:proofErr w:type="spellEnd"/>
      <w:r w:rsidR="003B6D6D" w:rsidRPr="00677520">
        <w:rPr>
          <w:rFonts w:ascii="David" w:eastAsia="Times New Roman" w:hAnsi="David" w:cs="David" w:hint="cs"/>
          <w:sz w:val="28"/>
          <w:szCs w:val="28"/>
          <w:rtl/>
        </w:rPr>
        <w:t xml:space="preserve"> של מערער 2 בסכום של 30,000 ₪ בשל הלוואה נוספת שנטל מערער 2 ביום 17.5.15</w:t>
      </w:r>
      <w:r w:rsidR="00486004" w:rsidRPr="00677520">
        <w:rPr>
          <w:rFonts w:ascii="David" w:eastAsia="Times New Roman" w:hAnsi="David" w:cs="David" w:hint="cs"/>
          <w:sz w:val="28"/>
          <w:szCs w:val="28"/>
          <w:rtl/>
        </w:rPr>
        <w:t>. נראה כי הלוואה זו נלקחה לצורך העברת הסך של 45,000 ₪ שבוצעה בהמשך היום.</w:t>
      </w:r>
    </w:p>
    <w:p w14:paraId="7482D9E3" w14:textId="77777777" w:rsidR="00486004" w:rsidRPr="00486004" w:rsidRDefault="00486004" w:rsidP="00486004">
      <w:pPr>
        <w:shd w:val="clear" w:color="auto" w:fill="FFFFFF"/>
        <w:spacing w:after="0" w:line="360" w:lineRule="auto"/>
        <w:jc w:val="both"/>
        <w:rPr>
          <w:rFonts w:ascii="David" w:eastAsia="Times New Roman" w:hAnsi="David" w:cs="David"/>
          <w:sz w:val="28"/>
          <w:szCs w:val="28"/>
          <w:rtl/>
        </w:rPr>
      </w:pPr>
    </w:p>
    <w:p w14:paraId="46ED3809" w14:textId="5306881B" w:rsidR="003B6D6D" w:rsidRDefault="003B6D6D" w:rsidP="003B6D6D">
      <w:pPr>
        <w:pStyle w:val="a5"/>
        <w:numPr>
          <w:ilvl w:val="0"/>
          <w:numId w:val="23"/>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להשלמת התמונה נפנה לסכום של 12,250 שהעביר מערער 2 לטובת מערער 1 ב</w:t>
      </w:r>
      <w:r w:rsidR="00486004">
        <w:rPr>
          <w:rFonts w:ascii="David" w:eastAsia="Times New Roman" w:hAnsi="David" w:cs="David" w:hint="cs"/>
          <w:sz w:val="28"/>
          <w:szCs w:val="28"/>
          <w:rtl/>
        </w:rPr>
        <w:t xml:space="preserve">קשר </w:t>
      </w:r>
      <w:r>
        <w:rPr>
          <w:rFonts w:ascii="David" w:eastAsia="Times New Roman" w:hAnsi="David" w:cs="David" w:hint="cs"/>
          <w:sz w:val="28"/>
          <w:szCs w:val="28"/>
          <w:rtl/>
        </w:rPr>
        <w:t>לתביעת דיבה שהגיש. ראוי לציין כי בנוגע להעברה זו נקבע כי מערער 1 לא ידע שמקורה בדוידי</w:t>
      </w:r>
      <w:r w:rsidR="00486004">
        <w:rPr>
          <w:rFonts w:ascii="David" w:eastAsia="Times New Roman" w:hAnsi="David" w:cs="David" w:hint="cs"/>
          <w:sz w:val="28"/>
          <w:szCs w:val="28"/>
          <w:rtl/>
        </w:rPr>
        <w:t>.</w:t>
      </w:r>
      <w:r>
        <w:rPr>
          <w:rFonts w:ascii="David" w:eastAsia="Times New Roman" w:hAnsi="David" w:cs="David" w:hint="cs"/>
          <w:sz w:val="28"/>
          <w:szCs w:val="28"/>
          <w:rtl/>
        </w:rPr>
        <w:t xml:space="preserve"> מאליה עולה השאלה אם מערער 1 </w:t>
      </w:r>
      <w:r w:rsidR="00486004">
        <w:rPr>
          <w:rFonts w:ascii="David" w:eastAsia="Times New Roman" w:hAnsi="David" w:cs="David" w:hint="cs"/>
          <w:sz w:val="28"/>
          <w:szCs w:val="28"/>
          <w:rtl/>
        </w:rPr>
        <w:t xml:space="preserve">לא </w:t>
      </w:r>
      <w:r>
        <w:rPr>
          <w:rFonts w:ascii="David" w:eastAsia="Times New Roman" w:hAnsi="David" w:cs="David" w:hint="cs"/>
          <w:sz w:val="28"/>
          <w:szCs w:val="28"/>
          <w:rtl/>
        </w:rPr>
        <w:t xml:space="preserve">ידע כי מקור הכספים </w:t>
      </w:r>
      <w:r w:rsidR="00486004">
        <w:rPr>
          <w:rFonts w:ascii="David" w:eastAsia="Times New Roman" w:hAnsi="David" w:cs="David" w:hint="cs"/>
          <w:sz w:val="28"/>
          <w:szCs w:val="28"/>
          <w:rtl/>
        </w:rPr>
        <w:t>שהעביר אליו מערער 2 ב</w:t>
      </w:r>
      <w:r>
        <w:rPr>
          <w:rFonts w:ascii="David" w:eastAsia="Times New Roman" w:hAnsi="David" w:cs="David" w:hint="cs"/>
          <w:sz w:val="28"/>
          <w:szCs w:val="28"/>
          <w:rtl/>
        </w:rPr>
        <w:t>תאריך 17.5.15 הוא מדוידי- מנין לנו שידע</w:t>
      </w:r>
      <w:r w:rsidR="00486004">
        <w:rPr>
          <w:rFonts w:ascii="David" w:eastAsia="Times New Roman" w:hAnsi="David" w:cs="David" w:hint="cs"/>
          <w:sz w:val="28"/>
          <w:szCs w:val="28"/>
          <w:rtl/>
        </w:rPr>
        <w:t xml:space="preserve"> שמקור הכספים שהועברו אליו ב20.5.15 הוא מדוידי</w:t>
      </w:r>
      <w:r w:rsidR="00677520">
        <w:rPr>
          <w:rFonts w:ascii="David" w:eastAsia="Times New Roman" w:hAnsi="David" w:cs="David" w:hint="cs"/>
          <w:sz w:val="28"/>
          <w:szCs w:val="28"/>
          <w:rtl/>
        </w:rPr>
        <w:t>?</w:t>
      </w:r>
    </w:p>
    <w:p w14:paraId="63CDE48B" w14:textId="13B3AF73" w:rsidR="003B6D6D" w:rsidRDefault="003B6D6D" w:rsidP="003B6D6D">
      <w:pPr>
        <w:pStyle w:val="a5"/>
        <w:shd w:val="clear" w:color="auto" w:fill="FFFFFF"/>
        <w:spacing w:after="0" w:line="360" w:lineRule="auto"/>
        <w:ind w:left="786"/>
        <w:jc w:val="both"/>
        <w:rPr>
          <w:rFonts w:ascii="David" w:eastAsia="Times New Roman" w:hAnsi="David" w:cs="David"/>
          <w:sz w:val="28"/>
          <w:szCs w:val="28"/>
          <w:rtl/>
        </w:rPr>
      </w:pPr>
      <w:r>
        <w:rPr>
          <w:rFonts w:ascii="David" w:eastAsia="Times New Roman" w:hAnsi="David" w:cs="David" w:hint="cs"/>
          <w:sz w:val="28"/>
          <w:szCs w:val="28"/>
          <w:rtl/>
        </w:rPr>
        <w:t>המסקנה מכל האמור לעיל היא כי אין קשר מח</w:t>
      </w:r>
      <w:r w:rsidR="00486004">
        <w:rPr>
          <w:rFonts w:ascii="David" w:eastAsia="Times New Roman" w:hAnsi="David" w:cs="David" w:hint="cs"/>
          <w:sz w:val="28"/>
          <w:szCs w:val="28"/>
          <w:rtl/>
        </w:rPr>
        <w:t>י</w:t>
      </w:r>
      <w:r>
        <w:rPr>
          <w:rFonts w:ascii="David" w:eastAsia="Times New Roman" w:hAnsi="David" w:cs="David" w:hint="cs"/>
          <w:sz w:val="28"/>
          <w:szCs w:val="28"/>
          <w:rtl/>
        </w:rPr>
        <w:t xml:space="preserve">יב ברמת </w:t>
      </w:r>
      <w:r w:rsidR="00486004">
        <w:rPr>
          <w:rFonts w:ascii="David" w:eastAsia="Times New Roman" w:hAnsi="David" w:cs="David" w:hint="cs"/>
          <w:sz w:val="28"/>
          <w:szCs w:val="28"/>
          <w:rtl/>
        </w:rPr>
        <w:t>ה</w:t>
      </w:r>
      <w:r>
        <w:rPr>
          <w:rFonts w:ascii="David" w:eastAsia="Times New Roman" w:hAnsi="David" w:cs="David" w:hint="cs"/>
          <w:sz w:val="28"/>
          <w:szCs w:val="28"/>
          <w:rtl/>
        </w:rPr>
        <w:t xml:space="preserve">ודאות  </w:t>
      </w:r>
      <w:r w:rsidR="00486004">
        <w:rPr>
          <w:rFonts w:ascii="David" w:eastAsia="Times New Roman" w:hAnsi="David" w:cs="David" w:hint="cs"/>
          <w:sz w:val="28"/>
          <w:szCs w:val="28"/>
          <w:rtl/>
        </w:rPr>
        <w:t>ה</w:t>
      </w:r>
      <w:r>
        <w:rPr>
          <w:rFonts w:ascii="David" w:eastAsia="Times New Roman" w:hAnsi="David" w:cs="David" w:hint="cs"/>
          <w:sz w:val="28"/>
          <w:szCs w:val="28"/>
          <w:rtl/>
        </w:rPr>
        <w:t>נדרשת בין דמי התיווך שקבל מערער 2 מדוידי בקשר לעסקת יעדים לבין התשלום מחשבונו עבור מערער 1 שמסתכם בסכום של 95</w:t>
      </w:r>
      <w:r w:rsidR="00486004">
        <w:rPr>
          <w:rFonts w:ascii="David" w:eastAsia="Times New Roman" w:hAnsi="David" w:cs="David" w:hint="cs"/>
          <w:sz w:val="28"/>
          <w:szCs w:val="28"/>
          <w:rtl/>
        </w:rPr>
        <w:t>,</w:t>
      </w:r>
      <w:r>
        <w:rPr>
          <w:rFonts w:ascii="David" w:eastAsia="Times New Roman" w:hAnsi="David" w:cs="David" w:hint="cs"/>
          <w:sz w:val="28"/>
          <w:szCs w:val="28"/>
          <w:rtl/>
        </w:rPr>
        <w:t>000 ₪ בלבד אשר ברובו אין מקורו בדוידי.</w:t>
      </w:r>
    </w:p>
    <w:p w14:paraId="6F5E8087" w14:textId="77777777" w:rsidR="00677520" w:rsidRPr="00677520" w:rsidRDefault="00677520" w:rsidP="00677520">
      <w:pPr>
        <w:shd w:val="clear" w:color="auto" w:fill="FFFFFF"/>
        <w:spacing w:after="0" w:line="360" w:lineRule="auto"/>
        <w:jc w:val="both"/>
        <w:rPr>
          <w:rFonts w:ascii="David" w:eastAsia="Times New Roman" w:hAnsi="David" w:cs="David"/>
          <w:sz w:val="28"/>
          <w:szCs w:val="28"/>
          <w:rtl/>
        </w:rPr>
      </w:pPr>
    </w:p>
    <w:p w14:paraId="0E2538EA" w14:textId="200BE392" w:rsidR="003B6D6D" w:rsidRDefault="003B6D6D" w:rsidP="00677520">
      <w:pPr>
        <w:pStyle w:val="a5"/>
        <w:numPr>
          <w:ilvl w:val="0"/>
          <w:numId w:val="22"/>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חיזוק לכך שהעברת הכספים ממערער 2 למערער 1 הייתה העברה עצמאית מכספי מערער 1 ללא </w:t>
      </w:r>
      <w:r w:rsidR="00261DD7">
        <w:rPr>
          <w:rFonts w:ascii="David" w:eastAsia="Times New Roman" w:hAnsi="David" w:cs="David" w:hint="cs"/>
          <w:sz w:val="28"/>
          <w:szCs w:val="28"/>
          <w:rtl/>
        </w:rPr>
        <w:t xml:space="preserve">קשר אם קבלם מדוידי, או מהלוואות שלקח מהבנק או ממכריו ובני משפחתו, מצוי בת'39 הוא ה"פתק" שגזריו נתפסו בשולחן בו סעדו המערער 1 </w:t>
      </w:r>
      <w:proofErr w:type="spellStart"/>
      <w:r w:rsidR="00261DD7">
        <w:rPr>
          <w:rFonts w:ascii="David" w:eastAsia="Times New Roman" w:hAnsi="David" w:cs="David" w:hint="cs"/>
          <w:sz w:val="28"/>
          <w:szCs w:val="28"/>
          <w:rtl/>
        </w:rPr>
        <w:t>ופונטה</w:t>
      </w:r>
      <w:proofErr w:type="spellEnd"/>
      <w:r w:rsidR="00261DD7">
        <w:rPr>
          <w:rFonts w:ascii="David" w:eastAsia="Times New Roman" w:hAnsi="David" w:cs="David" w:hint="cs"/>
          <w:sz w:val="28"/>
          <w:szCs w:val="28"/>
          <w:rtl/>
        </w:rPr>
        <w:t xml:space="preserve"> (נאשם 4) במסעדת "צפורה" ב- 20.5.15</w:t>
      </w:r>
      <w:r w:rsidR="00486004">
        <w:rPr>
          <w:rFonts w:ascii="David" w:eastAsia="Times New Roman" w:hAnsi="David" w:cs="David" w:hint="cs"/>
          <w:sz w:val="28"/>
          <w:szCs w:val="28"/>
          <w:rtl/>
        </w:rPr>
        <w:t>.</w:t>
      </w:r>
    </w:p>
    <w:p w14:paraId="073B0601" w14:textId="03262751" w:rsidR="00261DD7" w:rsidRDefault="00261DD7" w:rsidP="00677520">
      <w:pPr>
        <w:pStyle w:val="a5"/>
        <w:shd w:val="clear" w:color="auto" w:fill="FFFFFF"/>
        <w:spacing w:after="0" w:line="360" w:lineRule="auto"/>
        <w:ind w:left="755"/>
        <w:jc w:val="both"/>
        <w:rPr>
          <w:rFonts w:ascii="David" w:eastAsia="Times New Roman" w:hAnsi="David" w:cs="David"/>
          <w:sz w:val="28"/>
          <w:szCs w:val="28"/>
        </w:rPr>
      </w:pPr>
      <w:r>
        <w:rPr>
          <w:rFonts w:ascii="David" w:eastAsia="Times New Roman" w:hAnsi="David" w:cs="David" w:hint="cs"/>
          <w:sz w:val="28"/>
          <w:szCs w:val="28"/>
          <w:rtl/>
        </w:rPr>
        <w:t xml:space="preserve">בפתק זה רשם </w:t>
      </w:r>
      <w:proofErr w:type="spellStart"/>
      <w:r>
        <w:rPr>
          <w:rFonts w:ascii="David" w:eastAsia="Times New Roman" w:hAnsi="David" w:cs="David" w:hint="cs"/>
          <w:sz w:val="28"/>
          <w:szCs w:val="28"/>
          <w:rtl/>
        </w:rPr>
        <w:t>פונטה</w:t>
      </w:r>
      <w:proofErr w:type="spellEnd"/>
      <w:r>
        <w:rPr>
          <w:rFonts w:ascii="David" w:eastAsia="Times New Roman" w:hAnsi="David" w:cs="David" w:hint="cs"/>
          <w:sz w:val="28"/>
          <w:szCs w:val="28"/>
          <w:rtl/>
        </w:rPr>
        <w:t xml:space="preserve"> את מצבת גיוס הכספים ואת מקורם נכון ליום </w:t>
      </w:r>
      <w:r w:rsidR="00486004">
        <w:rPr>
          <w:rFonts w:ascii="David" w:eastAsia="Times New Roman" w:hAnsi="David" w:cs="David" w:hint="cs"/>
          <w:sz w:val="28"/>
          <w:szCs w:val="28"/>
          <w:rtl/>
        </w:rPr>
        <w:t>.</w:t>
      </w:r>
      <w:r>
        <w:rPr>
          <w:rFonts w:ascii="David" w:eastAsia="Times New Roman" w:hAnsi="David" w:cs="David" w:hint="cs"/>
          <w:sz w:val="28"/>
          <w:szCs w:val="28"/>
          <w:rtl/>
        </w:rPr>
        <w:t>20.5.15</w:t>
      </w:r>
    </w:p>
    <w:p w14:paraId="66283068" w14:textId="50943FEE" w:rsidR="00261DD7" w:rsidRPr="00677520" w:rsidRDefault="00261DD7" w:rsidP="00677520">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t xml:space="preserve">ביהמ"ש הנכבד קמא ייחס משקל רב לכתוב בפתק בעיקר </w:t>
      </w:r>
      <w:r w:rsidR="00486004">
        <w:rPr>
          <w:rFonts w:ascii="David" w:eastAsia="Times New Roman" w:hAnsi="David" w:cs="David" w:hint="cs"/>
          <w:sz w:val="28"/>
          <w:szCs w:val="28"/>
          <w:rtl/>
        </w:rPr>
        <w:t>לר</w:t>
      </w:r>
      <w:r>
        <w:rPr>
          <w:rFonts w:ascii="David" w:eastAsia="Times New Roman" w:hAnsi="David" w:cs="David" w:hint="cs"/>
          <w:sz w:val="28"/>
          <w:szCs w:val="28"/>
          <w:rtl/>
        </w:rPr>
        <w:t>שו</w:t>
      </w:r>
      <w:r w:rsidR="00486004">
        <w:rPr>
          <w:rFonts w:ascii="David" w:eastAsia="Times New Roman" w:hAnsi="David" w:cs="David" w:hint="cs"/>
          <w:sz w:val="28"/>
          <w:szCs w:val="28"/>
          <w:rtl/>
        </w:rPr>
        <w:t xml:space="preserve">ם </w:t>
      </w:r>
      <w:r>
        <w:rPr>
          <w:rFonts w:ascii="David" w:eastAsia="Times New Roman" w:hAnsi="David" w:cs="David" w:hint="cs"/>
          <w:sz w:val="28"/>
          <w:szCs w:val="28"/>
          <w:rtl/>
        </w:rPr>
        <w:t xml:space="preserve">בצידו האחורי </w:t>
      </w:r>
      <w:r w:rsidR="00486004">
        <w:rPr>
          <w:rFonts w:ascii="David" w:eastAsia="Times New Roman" w:hAnsi="David" w:cs="David" w:hint="cs"/>
          <w:sz w:val="28"/>
          <w:szCs w:val="28"/>
          <w:rtl/>
        </w:rPr>
        <w:t>.</w:t>
      </w:r>
      <w:r w:rsidRPr="00677520">
        <w:rPr>
          <w:rFonts w:ascii="David" w:eastAsia="Times New Roman" w:hAnsi="David" w:cs="David" w:hint="cs"/>
          <w:sz w:val="28"/>
          <w:szCs w:val="28"/>
          <w:rtl/>
        </w:rPr>
        <w:t xml:space="preserve">ביהמ"ש קמא קבע שרישום זה משקף גיוס של סך 100,000 ₪ מהקבלן גבי מגנזי ביום 28.5.15.באופיו של גיוס הכספים הנטען הזה, ובשאלת עצם קיומו, נדון במסגרת </w:t>
      </w:r>
      <w:proofErr w:type="spellStart"/>
      <w:r w:rsidRPr="00677520">
        <w:rPr>
          <w:rFonts w:ascii="David" w:eastAsia="Times New Roman" w:hAnsi="David" w:cs="David" w:hint="cs"/>
          <w:sz w:val="28"/>
          <w:szCs w:val="28"/>
          <w:rtl/>
        </w:rPr>
        <w:t>נמוקי</w:t>
      </w:r>
      <w:proofErr w:type="spellEnd"/>
      <w:r w:rsidRPr="00677520">
        <w:rPr>
          <w:rFonts w:ascii="David" w:eastAsia="Times New Roman" w:hAnsi="David" w:cs="David" w:hint="cs"/>
          <w:sz w:val="28"/>
          <w:szCs w:val="28"/>
          <w:rtl/>
        </w:rPr>
        <w:t xml:space="preserve"> הערעור כנגד ההרשעה באישום</w:t>
      </w:r>
      <w:r w:rsidR="00486004" w:rsidRPr="00677520">
        <w:rPr>
          <w:rFonts w:ascii="David" w:eastAsia="Times New Roman" w:hAnsi="David" w:cs="David" w:hint="cs"/>
          <w:sz w:val="28"/>
          <w:szCs w:val="28"/>
          <w:rtl/>
        </w:rPr>
        <w:t xml:space="preserve"> 2.</w:t>
      </w:r>
    </w:p>
    <w:p w14:paraId="63D48A91" w14:textId="5468349C" w:rsidR="00261DD7" w:rsidRPr="00677520" w:rsidRDefault="00261DD7" w:rsidP="00677520">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t>לעני</w:t>
      </w:r>
      <w:r w:rsidR="00486004">
        <w:rPr>
          <w:rFonts w:ascii="David" w:eastAsia="Times New Roman" w:hAnsi="David" w:cs="David" w:hint="cs"/>
          <w:sz w:val="28"/>
          <w:szCs w:val="28"/>
          <w:rtl/>
        </w:rPr>
        <w:t>י</w:t>
      </w:r>
      <w:r>
        <w:rPr>
          <w:rFonts w:ascii="David" w:eastAsia="Times New Roman" w:hAnsi="David" w:cs="David" w:hint="cs"/>
          <w:sz w:val="28"/>
          <w:szCs w:val="28"/>
          <w:rtl/>
        </w:rPr>
        <w:t xml:space="preserve">ן שבפנינו קיימת חשיבות רבה לכך שבעוד שמו של גבי מגנזי מצוין ולצידו הסכום המלא שגויס ממנו, לדידה של המדינה, בולט מאוד בהעדרו שמו של דוידי כמקור שממנו גויסו כספים בסכום </w:t>
      </w:r>
      <w:proofErr w:type="spellStart"/>
      <w:r>
        <w:rPr>
          <w:rFonts w:ascii="David" w:eastAsia="Times New Roman" w:hAnsi="David" w:cs="David" w:hint="cs"/>
          <w:sz w:val="28"/>
          <w:szCs w:val="28"/>
          <w:rtl/>
        </w:rPr>
        <w:t>כלשהו.</w:t>
      </w:r>
      <w:r w:rsidRPr="00677520">
        <w:rPr>
          <w:rFonts w:ascii="David" w:eastAsia="Times New Roman" w:hAnsi="David" w:cs="David" w:hint="cs"/>
          <w:sz w:val="28"/>
          <w:szCs w:val="28"/>
          <w:rtl/>
        </w:rPr>
        <w:t>מהפתק</w:t>
      </w:r>
      <w:proofErr w:type="spellEnd"/>
      <w:r w:rsidRPr="00677520">
        <w:rPr>
          <w:rFonts w:ascii="David" w:eastAsia="Times New Roman" w:hAnsi="David" w:cs="David" w:hint="cs"/>
          <w:sz w:val="28"/>
          <w:szCs w:val="28"/>
          <w:rtl/>
        </w:rPr>
        <w:t xml:space="preserve"> עולה </w:t>
      </w:r>
      <w:proofErr w:type="spellStart"/>
      <w:r w:rsidRPr="00677520">
        <w:rPr>
          <w:rFonts w:ascii="David" w:eastAsia="Times New Roman" w:hAnsi="David" w:cs="David" w:hint="cs"/>
          <w:sz w:val="28"/>
          <w:szCs w:val="28"/>
          <w:rtl/>
        </w:rPr>
        <w:t>שפונטה</w:t>
      </w:r>
      <w:proofErr w:type="spellEnd"/>
      <w:r w:rsidRPr="00677520">
        <w:rPr>
          <w:rFonts w:ascii="David" w:eastAsia="Times New Roman" w:hAnsi="David" w:cs="David" w:hint="cs"/>
          <w:sz w:val="28"/>
          <w:szCs w:val="28"/>
          <w:rtl/>
        </w:rPr>
        <w:t xml:space="preserve"> ושמעוני לא ידעו כלל שדוידי העביר סכום כלשהו למערער 2. </w:t>
      </w:r>
    </w:p>
    <w:p w14:paraId="21763B4C" w14:textId="1E1C8A37" w:rsidR="00261DD7" w:rsidRDefault="00261DD7" w:rsidP="00677520">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t>המדובר בראיה שלילית, משמעותית ביותר במכלול נסיבות העניין.</w:t>
      </w:r>
    </w:p>
    <w:p w14:paraId="47EF2570" w14:textId="3CB7367D" w:rsidR="00261DD7" w:rsidRDefault="00261DD7" w:rsidP="00677520">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t xml:space="preserve">זאת ועוד, </w:t>
      </w:r>
      <w:proofErr w:type="spellStart"/>
      <w:r>
        <w:rPr>
          <w:rFonts w:ascii="David" w:eastAsia="Times New Roman" w:hAnsi="David" w:cs="David" w:hint="cs"/>
          <w:sz w:val="28"/>
          <w:szCs w:val="28"/>
          <w:rtl/>
        </w:rPr>
        <w:t>דוקא</w:t>
      </w:r>
      <w:proofErr w:type="spellEnd"/>
      <w:r>
        <w:rPr>
          <w:rFonts w:ascii="David" w:eastAsia="Times New Roman" w:hAnsi="David" w:cs="David" w:hint="cs"/>
          <w:sz w:val="28"/>
          <w:szCs w:val="28"/>
          <w:rtl/>
        </w:rPr>
        <w:t xml:space="preserve"> מערער 2 הוא שרשום בפתק בשמו ולצידו </w:t>
      </w:r>
      <w:r w:rsidR="006E20B1">
        <w:rPr>
          <w:rFonts w:ascii="David" w:eastAsia="Times New Roman" w:hAnsi="David" w:cs="David" w:hint="cs"/>
          <w:sz w:val="28"/>
          <w:szCs w:val="28"/>
          <w:rtl/>
        </w:rPr>
        <w:t>המספר 70.</w:t>
      </w:r>
    </w:p>
    <w:p w14:paraId="3A5A6997" w14:textId="4A708874" w:rsidR="006E20B1" w:rsidRDefault="006E20B1" w:rsidP="00261DD7">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t>למספר זה אין כל קשר לכספים שקבל עופר מדוידי וגם עובדה זו מהווה ראיה נוספת לכך שהכסף שהעביר מערער 2 לטובת מערער 1 הינו כספו שלו המצוי בשליטתו הבלעדית ובו עשה המערער 2 כרצונו שלו.</w:t>
      </w:r>
    </w:p>
    <w:p w14:paraId="6DB3BF64" w14:textId="5C8D9F91" w:rsidR="006E20B1" w:rsidRPr="00677520" w:rsidRDefault="006E20B1" w:rsidP="00677520">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lastRenderedPageBreak/>
        <w:t xml:space="preserve">ביהמ"ש קמא קבע ששמו של דוידי לא צריך היה </w:t>
      </w:r>
      <w:proofErr w:type="spellStart"/>
      <w:r>
        <w:rPr>
          <w:rFonts w:ascii="David" w:eastAsia="Times New Roman" w:hAnsi="David" w:cs="David" w:hint="cs"/>
          <w:sz w:val="28"/>
          <w:szCs w:val="28"/>
          <w:rtl/>
        </w:rPr>
        <w:t>להרשם</w:t>
      </w:r>
      <w:proofErr w:type="spellEnd"/>
      <w:r>
        <w:rPr>
          <w:rFonts w:ascii="David" w:eastAsia="Times New Roman" w:hAnsi="David" w:cs="David" w:hint="cs"/>
          <w:sz w:val="28"/>
          <w:szCs w:val="28"/>
          <w:rtl/>
        </w:rPr>
        <w:t xml:space="preserve"> בפתק כיון שלכולם היה ברור שכל סכום הכסף שצפוי מערער 2 להעביר לטובת מערער 1, מקורו </w:t>
      </w:r>
      <w:proofErr w:type="spellStart"/>
      <w:r>
        <w:rPr>
          <w:rFonts w:ascii="David" w:eastAsia="Times New Roman" w:hAnsi="David" w:cs="David" w:hint="cs"/>
          <w:sz w:val="28"/>
          <w:szCs w:val="28"/>
          <w:rtl/>
        </w:rPr>
        <w:t>בדוידי.</w:t>
      </w:r>
      <w:r w:rsidRPr="00677520">
        <w:rPr>
          <w:rFonts w:ascii="David" w:eastAsia="Times New Roman" w:hAnsi="David" w:cs="David" w:hint="cs"/>
          <w:sz w:val="28"/>
          <w:szCs w:val="28"/>
          <w:rtl/>
        </w:rPr>
        <w:t>בתירוץ</w:t>
      </w:r>
      <w:proofErr w:type="spellEnd"/>
      <w:r w:rsidRPr="00677520">
        <w:rPr>
          <w:rFonts w:ascii="David" w:eastAsia="Times New Roman" w:hAnsi="David" w:cs="David" w:hint="cs"/>
          <w:sz w:val="28"/>
          <w:szCs w:val="28"/>
          <w:rtl/>
        </w:rPr>
        <w:t xml:space="preserve"> זה ביקש ביהמ"ש קמא " לרפא שבר גדול על נקלה" (כדברי הרמב"ן </w:t>
      </w:r>
      <w:proofErr w:type="spellStart"/>
      <w:r w:rsidRPr="00677520">
        <w:rPr>
          <w:rFonts w:ascii="David" w:eastAsia="Times New Roman" w:hAnsi="David" w:cs="David" w:hint="cs"/>
          <w:sz w:val="28"/>
          <w:szCs w:val="28"/>
          <w:rtl/>
        </w:rPr>
        <w:t>בבקורתו</w:t>
      </w:r>
      <w:proofErr w:type="spellEnd"/>
      <w:r w:rsidRPr="00677520">
        <w:rPr>
          <w:rFonts w:ascii="David" w:eastAsia="Times New Roman" w:hAnsi="David" w:cs="David" w:hint="cs"/>
          <w:sz w:val="28"/>
          <w:szCs w:val="28"/>
          <w:rtl/>
        </w:rPr>
        <w:t xml:space="preserve"> על הרמב"ם לסוגיית טעם מצוות הקורבנות).</w:t>
      </w:r>
    </w:p>
    <w:p w14:paraId="31486FEC" w14:textId="365E1107" w:rsidR="006E20B1" w:rsidRPr="00677520" w:rsidRDefault="006E20B1" w:rsidP="00677520">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t xml:space="preserve">אפילו אם מקור הכספים היחיד של מערער 2 היה דוידי הרי שהיה מקום לעשות הבחנה ברורה בין כספים שהשיג מערער 2 מפעולות תיווך אמיתיות שעשה, שאז בוודאי מדובר בכספו שלו, לבין כסף שמקורו בדוידי כשוחד בלבד וללא כל פעולת תיווך, כפי הנטען, שאז בוודאי ששמו של דוידי היה חייב </w:t>
      </w:r>
      <w:proofErr w:type="spellStart"/>
      <w:r>
        <w:rPr>
          <w:rFonts w:ascii="David" w:eastAsia="Times New Roman" w:hAnsi="David" w:cs="David" w:hint="cs"/>
          <w:sz w:val="28"/>
          <w:szCs w:val="28"/>
          <w:rtl/>
        </w:rPr>
        <w:t>להרשם</w:t>
      </w:r>
      <w:proofErr w:type="spellEnd"/>
      <w:r>
        <w:rPr>
          <w:rFonts w:ascii="David" w:eastAsia="Times New Roman" w:hAnsi="David" w:cs="David" w:hint="cs"/>
          <w:sz w:val="28"/>
          <w:szCs w:val="28"/>
          <w:rtl/>
        </w:rPr>
        <w:t xml:space="preserve"> בפתק.</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תירוץ רחוק זה גם לא נותן כל הסבר לגובה הסכום שרשום בפתק שאינו קשור בכלום לסכום בגובה 150,000 ₪ שקיבל מערער 2 כמקדמה בגין עסקת יעדים.</w:t>
      </w:r>
      <w:r w:rsidR="00677520">
        <w:rPr>
          <w:rFonts w:ascii="David" w:eastAsia="Times New Roman" w:hAnsi="David" w:cs="David" w:hint="cs"/>
          <w:sz w:val="28"/>
          <w:szCs w:val="28"/>
          <w:rtl/>
        </w:rPr>
        <w:t xml:space="preserve"> </w:t>
      </w:r>
      <w:r w:rsidRPr="00677520">
        <w:rPr>
          <w:rFonts w:ascii="David" w:eastAsia="Times New Roman" w:hAnsi="David" w:cs="David" w:hint="cs"/>
          <w:b/>
          <w:bCs/>
          <w:sz w:val="28"/>
          <w:szCs w:val="28"/>
          <w:u w:val="single"/>
          <w:rtl/>
        </w:rPr>
        <w:t xml:space="preserve">והעיקר </w:t>
      </w:r>
      <w:r w:rsidRPr="00677520">
        <w:rPr>
          <w:rFonts w:ascii="David" w:eastAsia="Times New Roman" w:hAnsi="David" w:cs="David"/>
          <w:b/>
          <w:bCs/>
          <w:sz w:val="28"/>
          <w:szCs w:val="28"/>
          <w:u w:val="single"/>
          <w:rtl/>
        </w:rPr>
        <w:t>–</w:t>
      </w:r>
      <w:r w:rsidRPr="00677520">
        <w:rPr>
          <w:rFonts w:ascii="David" w:eastAsia="Times New Roman" w:hAnsi="David" w:cs="David" w:hint="cs"/>
          <w:b/>
          <w:bCs/>
          <w:sz w:val="28"/>
          <w:szCs w:val="28"/>
          <w:u w:val="single"/>
          <w:rtl/>
        </w:rPr>
        <w:t xml:space="preserve"> </w:t>
      </w:r>
      <w:r w:rsidRPr="00677520">
        <w:rPr>
          <w:rFonts w:ascii="David" w:eastAsia="Times New Roman" w:hAnsi="David" w:cs="David" w:hint="cs"/>
          <w:sz w:val="28"/>
          <w:szCs w:val="28"/>
          <w:rtl/>
        </w:rPr>
        <w:t xml:space="preserve">כפי שהוכחנו לעיל ביום 20.5.15, בשעה שנמצא פתק במסעדת "צפורה", חלק הארי של הכספים שנכנסו לחשבונו של מערער 2 במהלך תקופה קצרה עובר לתאריך זה </w:t>
      </w:r>
      <w:r w:rsidRPr="00677520">
        <w:rPr>
          <w:rFonts w:ascii="David" w:eastAsia="Times New Roman" w:hAnsi="David" w:cs="David"/>
          <w:sz w:val="28"/>
          <w:szCs w:val="28"/>
          <w:rtl/>
        </w:rPr>
        <w:t>–</w:t>
      </w:r>
      <w:r w:rsidRPr="00677520">
        <w:rPr>
          <w:rFonts w:ascii="David" w:eastAsia="Times New Roman" w:hAnsi="David" w:cs="David" w:hint="cs"/>
          <w:sz w:val="28"/>
          <w:szCs w:val="28"/>
          <w:rtl/>
        </w:rPr>
        <w:t xml:space="preserve"> </w:t>
      </w:r>
      <w:r w:rsidRPr="00677520">
        <w:rPr>
          <w:rFonts w:ascii="David" w:eastAsia="Times New Roman" w:hAnsi="David" w:cs="David" w:hint="cs"/>
          <w:b/>
          <w:bCs/>
          <w:sz w:val="28"/>
          <w:szCs w:val="28"/>
          <w:rtl/>
        </w:rPr>
        <w:t>אין מקורו בדוידי</w:t>
      </w:r>
      <w:r w:rsidRPr="00677520">
        <w:rPr>
          <w:rFonts w:ascii="David" w:eastAsia="Times New Roman" w:hAnsi="David" w:cs="David" w:hint="cs"/>
          <w:sz w:val="28"/>
          <w:szCs w:val="28"/>
          <w:rtl/>
        </w:rPr>
        <w:t>.</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האם לא די בכך כדי לסדוק </w:t>
      </w:r>
      <w:r w:rsidR="00934BF3" w:rsidRPr="00677520">
        <w:rPr>
          <w:rFonts w:ascii="David" w:eastAsia="Times New Roman" w:hAnsi="David" w:cs="David" w:hint="cs"/>
          <w:sz w:val="28"/>
          <w:szCs w:val="28"/>
          <w:rtl/>
        </w:rPr>
        <w:t xml:space="preserve">את </w:t>
      </w:r>
      <w:proofErr w:type="spellStart"/>
      <w:r w:rsidR="00934BF3" w:rsidRPr="00677520">
        <w:rPr>
          <w:rFonts w:ascii="David" w:eastAsia="Times New Roman" w:hAnsi="David" w:cs="David" w:hint="cs"/>
          <w:sz w:val="28"/>
          <w:szCs w:val="28"/>
          <w:rtl/>
        </w:rPr>
        <w:t>תיזת</w:t>
      </w:r>
      <w:proofErr w:type="spellEnd"/>
      <w:r w:rsidR="00934BF3" w:rsidRPr="00677520">
        <w:rPr>
          <w:rFonts w:ascii="David" w:eastAsia="Times New Roman" w:hAnsi="David" w:cs="David" w:hint="cs"/>
          <w:sz w:val="28"/>
          <w:szCs w:val="28"/>
          <w:rtl/>
        </w:rPr>
        <w:t xml:space="preserve"> השוחד באופן שלא תהא לה זכות עמידה מוצקה ואיתנה במידה הנדרשת בפלילים?!</w:t>
      </w:r>
    </w:p>
    <w:p w14:paraId="28A70F4E" w14:textId="77777777" w:rsidR="00677520" w:rsidRDefault="00677520" w:rsidP="00261DD7">
      <w:pPr>
        <w:pStyle w:val="a5"/>
        <w:shd w:val="clear" w:color="auto" w:fill="FFFFFF"/>
        <w:spacing w:after="0" w:line="360" w:lineRule="auto"/>
        <w:ind w:left="755"/>
        <w:jc w:val="both"/>
        <w:rPr>
          <w:rFonts w:ascii="David" w:eastAsia="Times New Roman" w:hAnsi="David" w:cs="David"/>
          <w:sz w:val="28"/>
          <w:szCs w:val="28"/>
          <w:rtl/>
        </w:rPr>
      </w:pPr>
    </w:p>
    <w:p w14:paraId="59C4AAAF" w14:textId="0E3F64A7" w:rsidR="00934BF3" w:rsidRPr="00677520" w:rsidRDefault="00934BF3" w:rsidP="00677520">
      <w:pPr>
        <w:pStyle w:val="a5"/>
        <w:numPr>
          <w:ilvl w:val="0"/>
          <w:numId w:val="22"/>
        </w:num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ביהמ"ש קמא קבע קביעות מסוימות בנוגע למערער 1 ולדוידי שיש בהן לכרסם כרסום נוסף בסבירות </w:t>
      </w:r>
      <w:proofErr w:type="spellStart"/>
      <w:r>
        <w:rPr>
          <w:rFonts w:ascii="David" w:eastAsia="Times New Roman" w:hAnsi="David" w:cs="David" w:hint="cs"/>
          <w:sz w:val="28"/>
          <w:szCs w:val="28"/>
          <w:rtl/>
        </w:rPr>
        <w:t>תיזת</w:t>
      </w:r>
      <w:proofErr w:type="spellEnd"/>
      <w:r>
        <w:rPr>
          <w:rFonts w:ascii="David" w:eastAsia="Times New Roman" w:hAnsi="David" w:cs="David" w:hint="cs"/>
          <w:sz w:val="28"/>
          <w:szCs w:val="28"/>
          <w:rtl/>
        </w:rPr>
        <w:t xml:space="preserve"> השוחד ולתמוך בכך שעסקת יעדים הייתה עסקת אמת.</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בסעיפים 57 ו120 להכרעת הדין קבע ביהמ"ש קמא כי מערער 2 לא דיווח למערער 1 אודות גובה הסכום הכספי שקבל מדוידי בעסקת יעדים.</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מאליה עולה התמיהה, הכיצד יכולה לעמוד </w:t>
      </w:r>
      <w:proofErr w:type="spellStart"/>
      <w:r w:rsidRPr="00677520">
        <w:rPr>
          <w:rFonts w:ascii="David" w:eastAsia="Times New Roman" w:hAnsi="David" w:cs="David" w:hint="cs"/>
          <w:sz w:val="28"/>
          <w:szCs w:val="28"/>
          <w:rtl/>
        </w:rPr>
        <w:t>תיזת</w:t>
      </w:r>
      <w:proofErr w:type="spellEnd"/>
      <w:r w:rsidRPr="00677520">
        <w:rPr>
          <w:rFonts w:ascii="David" w:eastAsia="Times New Roman" w:hAnsi="David" w:cs="David" w:hint="cs"/>
          <w:sz w:val="28"/>
          <w:szCs w:val="28"/>
          <w:rtl/>
        </w:rPr>
        <w:t xml:space="preserve"> השוחד, אם מקבל השוחד אפילו לא מודע לסכום השוחד שקיבל?!</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גם לגבי דוידי קבע ביהמ"ש קמא בסעיף 242 להכרעת הדין, שהוא לא היה מודע להסכמי הפיצויים עליהם חתם מערער 1 וגם לא לעצם מעורבות מערער 2 בגיוס הכספים עבור מערער 1.</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כמו כן קבע ביהמ"ש קמא שאפשר ודוידי רק חשד שהתשלום ששילם למערער 2 יועבר על ידו למערער 1.</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המערערים יטענו כי הקביעות הללו של ביהמ"ד קמא הן בקשר למערער 1 והן בקשר לדוידי עושות לבלתי סבירה את </w:t>
      </w:r>
      <w:proofErr w:type="spellStart"/>
      <w:r w:rsidRPr="00677520">
        <w:rPr>
          <w:rFonts w:ascii="David" w:eastAsia="Times New Roman" w:hAnsi="David" w:cs="David" w:hint="cs"/>
          <w:sz w:val="28"/>
          <w:szCs w:val="28"/>
          <w:rtl/>
        </w:rPr>
        <w:t>תיזת</w:t>
      </w:r>
      <w:proofErr w:type="spellEnd"/>
      <w:r w:rsidRPr="00677520">
        <w:rPr>
          <w:rFonts w:ascii="David" w:eastAsia="Times New Roman" w:hAnsi="David" w:cs="David" w:hint="cs"/>
          <w:sz w:val="28"/>
          <w:szCs w:val="28"/>
          <w:rtl/>
        </w:rPr>
        <w:t xml:space="preserve"> השוחד, שהרי לו היה מדובר בתשלום שוחד מדוידי למערער 1 ,כפי הנטען, שניהם היו ודאי יודעים היטב את שלא ידעו כאמור בקביעותיו של ביהמ"ש קמא.</w:t>
      </w:r>
    </w:p>
    <w:p w14:paraId="0816ABC7" w14:textId="77777777" w:rsidR="00677520" w:rsidRPr="00677520" w:rsidRDefault="00677520" w:rsidP="00677520">
      <w:pPr>
        <w:shd w:val="clear" w:color="auto" w:fill="FFFFFF"/>
        <w:spacing w:after="0" w:line="360" w:lineRule="auto"/>
        <w:jc w:val="both"/>
        <w:rPr>
          <w:rFonts w:ascii="David" w:eastAsia="Times New Roman" w:hAnsi="David" w:cs="David"/>
          <w:sz w:val="28"/>
          <w:szCs w:val="28"/>
          <w:rtl/>
        </w:rPr>
      </w:pPr>
    </w:p>
    <w:p w14:paraId="17993458" w14:textId="6FCA6ADF" w:rsidR="00677520" w:rsidRPr="00677520" w:rsidRDefault="00934BF3" w:rsidP="00677520">
      <w:pPr>
        <w:pStyle w:val="a5"/>
        <w:numPr>
          <w:ilvl w:val="0"/>
          <w:numId w:val="22"/>
        </w:numPr>
        <w:shd w:val="clear" w:color="auto" w:fill="FFFFFF"/>
        <w:spacing w:after="0" w:line="360" w:lineRule="auto"/>
        <w:jc w:val="both"/>
        <w:rPr>
          <w:rFonts w:ascii="David" w:eastAsia="Times New Roman" w:hAnsi="David" w:cs="David" w:hint="cs"/>
          <w:sz w:val="28"/>
          <w:szCs w:val="28"/>
          <w:rtl/>
        </w:rPr>
      </w:pPr>
      <w:r>
        <w:rPr>
          <w:rFonts w:ascii="David" w:eastAsia="Times New Roman" w:hAnsi="David" w:cs="David" w:hint="cs"/>
          <w:sz w:val="28"/>
          <w:szCs w:val="28"/>
          <w:rtl/>
        </w:rPr>
        <w:t xml:space="preserve">סבירותה של </w:t>
      </w:r>
      <w:proofErr w:type="spellStart"/>
      <w:r>
        <w:rPr>
          <w:rFonts w:ascii="David" w:eastAsia="Times New Roman" w:hAnsi="David" w:cs="David" w:hint="cs"/>
          <w:sz w:val="28"/>
          <w:szCs w:val="28"/>
          <w:rtl/>
        </w:rPr>
        <w:t>תיזת</w:t>
      </w:r>
      <w:proofErr w:type="spellEnd"/>
      <w:r>
        <w:rPr>
          <w:rFonts w:ascii="David" w:eastAsia="Times New Roman" w:hAnsi="David" w:cs="David" w:hint="cs"/>
          <w:sz w:val="28"/>
          <w:szCs w:val="28"/>
          <w:rtl/>
        </w:rPr>
        <w:t xml:space="preserve"> השוחד היא נמוכה מאוד, גם בהתחשב בדברים הבאים: לצערנו הרב, שמענו גם שמענו על ביצוע עבירות שוחד רבות במחוזותינו במשך עשרות השנים האחרונות. ברם, מעולם לא שמענו על ביצוע עבירת שוחד כלשהי באופן שנקבע בהכרעת הדין של ביהמ"ש קמא</w:t>
      </w:r>
      <w:r w:rsidR="00C66AAE">
        <w:rPr>
          <w:rFonts w:ascii="David" w:eastAsia="Times New Roman" w:hAnsi="David" w:cs="David" w:hint="cs"/>
          <w:sz w:val="28"/>
          <w:szCs w:val="28"/>
          <w:rtl/>
        </w:rPr>
        <w:t>.</w:t>
      </w:r>
      <w:r w:rsidR="00677520">
        <w:rPr>
          <w:rFonts w:ascii="David" w:eastAsia="Times New Roman" w:hAnsi="David" w:cs="David" w:hint="cs"/>
          <w:sz w:val="28"/>
          <w:szCs w:val="28"/>
          <w:rtl/>
        </w:rPr>
        <w:t xml:space="preserve"> </w:t>
      </w:r>
      <w:r w:rsidR="00C66AAE" w:rsidRPr="00677520">
        <w:rPr>
          <w:rFonts w:ascii="David" w:eastAsia="Times New Roman" w:hAnsi="David" w:cs="David" w:hint="cs"/>
          <w:sz w:val="28"/>
          <w:szCs w:val="28"/>
          <w:rtl/>
        </w:rPr>
        <w:t xml:space="preserve">עבירות השוחד, </w:t>
      </w:r>
      <w:r w:rsidR="00C66AAE" w:rsidRPr="00677520">
        <w:rPr>
          <w:rFonts w:ascii="David" w:eastAsia="Times New Roman" w:hAnsi="David" w:cs="David" w:hint="cs"/>
          <w:sz w:val="28"/>
          <w:szCs w:val="28"/>
          <w:rtl/>
        </w:rPr>
        <w:lastRenderedPageBreak/>
        <w:t>מטבען, מתבצעות במחשכים ובוודאי לא תוך כדי רישום גלוי ובולט בפנקסי החשבונות, כפי שנטען במקרה שלפנינו, באופן שסיכן מאוד, כפי שניתן היה לצפות מראש, הן את דוידי והן את מערער 2.</w:t>
      </w:r>
      <w:r w:rsidR="00677520">
        <w:rPr>
          <w:rFonts w:ascii="David" w:eastAsia="Times New Roman" w:hAnsi="David" w:cs="David" w:hint="cs"/>
          <w:sz w:val="28"/>
          <w:szCs w:val="28"/>
          <w:rtl/>
        </w:rPr>
        <w:t xml:space="preserve"> </w:t>
      </w:r>
      <w:r w:rsidR="00C66AAE" w:rsidRPr="00677520">
        <w:rPr>
          <w:rFonts w:ascii="David" w:eastAsia="Times New Roman" w:hAnsi="David" w:cs="David" w:hint="cs"/>
          <w:sz w:val="28"/>
          <w:szCs w:val="28"/>
          <w:rtl/>
        </w:rPr>
        <w:t xml:space="preserve">גם על פי הקביעות של ביהמ"ש קמא נדרשו דוידי ומערער 2 לעשות פעולות הסוואה רבות ומסוכנות, הכוללות פיברוק חשבונית מס, </w:t>
      </w:r>
      <w:proofErr w:type="spellStart"/>
      <w:r w:rsidR="00C66AAE" w:rsidRPr="00677520">
        <w:rPr>
          <w:rFonts w:ascii="David" w:eastAsia="Times New Roman" w:hAnsi="David" w:cs="David" w:hint="cs"/>
          <w:sz w:val="28"/>
          <w:szCs w:val="28"/>
          <w:rtl/>
        </w:rPr>
        <w:t>ופברוק</w:t>
      </w:r>
      <w:proofErr w:type="spellEnd"/>
      <w:r w:rsidR="00C66AAE" w:rsidRPr="00677520">
        <w:rPr>
          <w:rFonts w:ascii="David" w:eastAsia="Times New Roman" w:hAnsi="David" w:cs="David" w:hint="cs"/>
          <w:sz w:val="28"/>
          <w:szCs w:val="28"/>
          <w:rtl/>
        </w:rPr>
        <w:t xml:space="preserve"> הסכם לשיווק פרויקט יעדים שעו"ד בן יעקב היה מעורב בו, וכן תוך צירוף פיקטיבי של מתווך נוסף כדי לטשטש ולהסוות את פיקטיביות עסקת התיווך בפרויקט יעדים.</w:t>
      </w:r>
      <w:r w:rsidR="00677520">
        <w:rPr>
          <w:rFonts w:ascii="David" w:eastAsia="Times New Roman" w:hAnsi="David" w:cs="David" w:hint="cs"/>
          <w:sz w:val="28"/>
          <w:szCs w:val="28"/>
          <w:rtl/>
        </w:rPr>
        <w:t xml:space="preserve"> </w:t>
      </w:r>
      <w:r w:rsidR="00C66AAE" w:rsidRPr="00677520">
        <w:rPr>
          <w:rFonts w:ascii="David" w:eastAsia="Times New Roman" w:hAnsi="David" w:cs="David" w:hint="cs"/>
          <w:sz w:val="28"/>
          <w:szCs w:val="28"/>
          <w:rtl/>
        </w:rPr>
        <w:t xml:space="preserve">מאליה עולה השאלה, מדוע שדוידי יעשה כך ולא יעביר את כספי השוחד למערער 1 באופן </w:t>
      </w:r>
      <w:proofErr w:type="spellStart"/>
      <w:r w:rsidR="00C66AAE" w:rsidRPr="00677520">
        <w:rPr>
          <w:rFonts w:ascii="David" w:eastAsia="Times New Roman" w:hAnsi="David" w:cs="David" w:hint="cs"/>
          <w:sz w:val="28"/>
          <w:szCs w:val="28"/>
          <w:rtl/>
        </w:rPr>
        <w:t>דסקרטי</w:t>
      </w:r>
      <w:proofErr w:type="spellEnd"/>
      <w:r w:rsidR="00C66AAE" w:rsidRPr="00677520">
        <w:rPr>
          <w:rFonts w:ascii="David" w:eastAsia="Times New Roman" w:hAnsi="David" w:cs="David" w:hint="cs"/>
          <w:sz w:val="28"/>
          <w:szCs w:val="28"/>
          <w:rtl/>
        </w:rPr>
        <w:t xml:space="preserve"> וסמוי מהעין, כפי שמתבצע תמיד בעבירות מסוג </w:t>
      </w:r>
      <w:proofErr w:type="spellStart"/>
      <w:r w:rsidR="00C66AAE" w:rsidRPr="00677520">
        <w:rPr>
          <w:rFonts w:ascii="David" w:eastAsia="Times New Roman" w:hAnsi="David" w:cs="David" w:hint="cs"/>
          <w:sz w:val="28"/>
          <w:szCs w:val="28"/>
          <w:rtl/>
        </w:rPr>
        <w:t>זה?גם</w:t>
      </w:r>
      <w:proofErr w:type="spellEnd"/>
      <w:r w:rsidR="00C66AAE" w:rsidRPr="00677520">
        <w:rPr>
          <w:rFonts w:ascii="David" w:eastAsia="Times New Roman" w:hAnsi="David" w:cs="David" w:hint="cs"/>
          <w:sz w:val="28"/>
          <w:szCs w:val="28"/>
          <w:rtl/>
        </w:rPr>
        <w:t xml:space="preserve"> </w:t>
      </w:r>
      <w:proofErr w:type="spellStart"/>
      <w:r w:rsidR="00C66AAE" w:rsidRPr="00677520">
        <w:rPr>
          <w:rFonts w:ascii="David" w:eastAsia="Times New Roman" w:hAnsi="David" w:cs="David" w:hint="cs"/>
          <w:sz w:val="28"/>
          <w:szCs w:val="28"/>
          <w:rtl/>
        </w:rPr>
        <w:t>לקושיה</w:t>
      </w:r>
      <w:proofErr w:type="spellEnd"/>
      <w:r w:rsidR="00C66AAE" w:rsidRPr="00677520">
        <w:rPr>
          <w:rFonts w:ascii="David" w:eastAsia="Times New Roman" w:hAnsi="David" w:cs="David" w:hint="cs"/>
          <w:sz w:val="28"/>
          <w:szCs w:val="28"/>
          <w:rtl/>
        </w:rPr>
        <w:t xml:space="preserve"> זו מצא ביהמ"ש קמא תירוץ, שעם כל הכבוד הוא רחוק מלשכנע.</w:t>
      </w:r>
      <w:r w:rsidR="00677520">
        <w:rPr>
          <w:rFonts w:ascii="David" w:eastAsia="Times New Roman" w:hAnsi="David" w:cs="David" w:hint="cs"/>
          <w:sz w:val="28"/>
          <w:szCs w:val="28"/>
          <w:rtl/>
        </w:rPr>
        <w:t xml:space="preserve"> </w:t>
      </w:r>
      <w:r w:rsidR="00C66AAE" w:rsidRPr="00677520">
        <w:rPr>
          <w:rFonts w:ascii="David" w:eastAsia="Times New Roman" w:hAnsi="David" w:cs="David" w:hint="cs"/>
          <w:sz w:val="28"/>
          <w:szCs w:val="28"/>
          <w:rtl/>
        </w:rPr>
        <w:t xml:space="preserve">ביהמ"ש קמא קבע שבדרך שבה הלך דוידי הוא הפיק יתרונות מס משום שיכול היה לזקוף את התשלום הפיקטיבי ששילם למערער 2 כהוצאה עסקית לגיטימית. </w:t>
      </w:r>
    </w:p>
    <w:p w14:paraId="1E92BDD5" w14:textId="5C90FF74" w:rsidR="00C66AAE" w:rsidRPr="00677520" w:rsidRDefault="00C66AAE" w:rsidP="00677520">
      <w:pPr>
        <w:pStyle w:val="a5"/>
        <w:shd w:val="clear" w:color="auto" w:fill="FFFFFF"/>
        <w:spacing w:after="0" w:line="360" w:lineRule="auto"/>
        <w:ind w:left="755"/>
        <w:jc w:val="both"/>
        <w:rPr>
          <w:rFonts w:ascii="David" w:eastAsia="Times New Roman" w:hAnsi="David" w:cs="David"/>
          <w:sz w:val="28"/>
          <w:szCs w:val="28"/>
          <w:rtl/>
        </w:rPr>
      </w:pPr>
      <w:r w:rsidRPr="00677520">
        <w:rPr>
          <w:rFonts w:ascii="David" w:eastAsia="Times New Roman" w:hAnsi="David" w:cs="David" w:hint="cs"/>
          <w:sz w:val="28"/>
          <w:szCs w:val="28"/>
          <w:rtl/>
        </w:rPr>
        <w:t xml:space="preserve">ואולם בהסכם השיווק שנערך ע"י עו"ד בן יעקב (שע"פ קביעות ביהמ"ש קמא, גם הוא פיקטיבי) נקבע שגובה דמי התיווך להם זכאים מערער 2 ודרור </w:t>
      </w:r>
      <w:proofErr w:type="spellStart"/>
      <w:r w:rsidRPr="00677520">
        <w:rPr>
          <w:rFonts w:ascii="David" w:eastAsia="Times New Roman" w:hAnsi="David" w:cs="David" w:hint="cs"/>
          <w:sz w:val="28"/>
          <w:szCs w:val="28"/>
          <w:rtl/>
        </w:rPr>
        <w:t>אלמלם</w:t>
      </w:r>
      <w:proofErr w:type="spellEnd"/>
      <w:r w:rsidRPr="00677520">
        <w:rPr>
          <w:rFonts w:ascii="David" w:eastAsia="Times New Roman" w:hAnsi="David" w:cs="David" w:hint="cs"/>
          <w:sz w:val="28"/>
          <w:szCs w:val="28"/>
          <w:rtl/>
        </w:rPr>
        <w:t xml:space="preserve"> יעמוד על 1.5% שהוא אחוז לא גבוה אליבא דכולי עלמא.</w:t>
      </w:r>
    </w:p>
    <w:p w14:paraId="6720A6D9" w14:textId="7EB58ECB" w:rsidR="00C66AAE" w:rsidRPr="00677520" w:rsidRDefault="00C66AAE" w:rsidP="00677520">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t>כמו כן נקבע באותו הסכם שיווק שהתשלום בסך 150,000 יקוזז במלואו מעמלות התיווך שישולמו בגין שיווק הפרויקט.</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לפיכך נשאלת השאלה איזה יתרונות מס יכול היה להפיק דוידי מדרך החתחתים המסוכנת בה צעד שהרי </w:t>
      </w:r>
      <w:proofErr w:type="spellStart"/>
      <w:r w:rsidRPr="00677520">
        <w:rPr>
          <w:rFonts w:ascii="David" w:eastAsia="Times New Roman" w:hAnsi="David" w:cs="David" w:hint="cs"/>
          <w:sz w:val="28"/>
          <w:szCs w:val="28"/>
          <w:rtl/>
        </w:rPr>
        <w:t>סינדל</w:t>
      </w:r>
      <w:proofErr w:type="spellEnd"/>
      <w:r w:rsidRPr="00677520">
        <w:rPr>
          <w:rFonts w:ascii="David" w:eastAsia="Times New Roman" w:hAnsi="David" w:cs="David" w:hint="cs"/>
          <w:sz w:val="28"/>
          <w:szCs w:val="28"/>
          <w:rtl/>
        </w:rPr>
        <w:t xml:space="preserve"> את עצמו ולא יכול היה לזקוף כהוצאה עסקית את התשלום העתידי של דמי התיווך שישלם בגובה 150,000 ₪</w:t>
      </w:r>
      <w:r w:rsidR="00B92692" w:rsidRPr="00677520">
        <w:rPr>
          <w:rFonts w:ascii="David" w:eastAsia="Times New Roman" w:hAnsi="David" w:cs="David" w:hint="cs"/>
          <w:sz w:val="28"/>
          <w:szCs w:val="28"/>
          <w:rtl/>
        </w:rPr>
        <w:t xml:space="preserve">, במקרה שמערער 2 ודרור </w:t>
      </w:r>
      <w:proofErr w:type="spellStart"/>
      <w:r w:rsidR="00B92692" w:rsidRPr="00677520">
        <w:rPr>
          <w:rFonts w:ascii="David" w:eastAsia="Times New Roman" w:hAnsi="David" w:cs="David" w:hint="cs"/>
          <w:sz w:val="28"/>
          <w:szCs w:val="28"/>
          <w:rtl/>
        </w:rPr>
        <w:t>אלמלם</w:t>
      </w:r>
      <w:proofErr w:type="spellEnd"/>
      <w:r w:rsidR="00B92692" w:rsidRPr="00677520">
        <w:rPr>
          <w:rFonts w:ascii="David" w:eastAsia="Times New Roman" w:hAnsi="David" w:cs="David" w:hint="cs"/>
          <w:sz w:val="28"/>
          <w:szCs w:val="28"/>
          <w:rtl/>
        </w:rPr>
        <w:t xml:space="preserve"> יהיו אלה שישווקו את הפרויקט כפי שאכן קרה בפועל.</w:t>
      </w:r>
    </w:p>
    <w:p w14:paraId="43153BE9" w14:textId="37665B8F" w:rsidR="00B92692" w:rsidRPr="00677520" w:rsidRDefault="00B92692" w:rsidP="00677520">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t xml:space="preserve">ואם תמצא לומר שדוידי התכוון שמתווך אחר ישלם את הפרויקט תמצא עצמך עומד בפני קושיה קשה אף יותר והיא: כיצד יתרץ דוידי במקרה כזה, את ההסכם בינו לבין מערער 2 ודרור </w:t>
      </w:r>
      <w:proofErr w:type="spellStart"/>
      <w:r>
        <w:rPr>
          <w:rFonts w:ascii="David" w:eastAsia="Times New Roman" w:hAnsi="David" w:cs="David" w:hint="cs"/>
          <w:sz w:val="28"/>
          <w:szCs w:val="28"/>
          <w:rtl/>
        </w:rPr>
        <w:t>אלמלם</w:t>
      </w:r>
      <w:proofErr w:type="spellEnd"/>
      <w:r>
        <w:rPr>
          <w:rFonts w:ascii="David" w:eastAsia="Times New Roman" w:hAnsi="David" w:cs="David" w:hint="cs"/>
          <w:sz w:val="28"/>
          <w:szCs w:val="28"/>
          <w:rtl/>
        </w:rPr>
        <w:t xml:space="preserve"> ואת התשלום המוקדם בסך 150,000 ששילם למערער 2 תוך ציון מפורש שהוא בגין דמי תיווך?</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זאת ועוד, החסכון במס עבור דוידי, בא על חשבון תשלום המס ששילם בפועל מערער 2. אפילו נניח שיתרון המס לדוידי גדול מחסרון המס למערער 2 עדיין נעמוד בפני שבר גדול: האם הגיוני שעבור חסכון מס שולי, אם בכלל, יעשה דוידי, אדם הגון מן הישוב נעדר כל </w:t>
      </w:r>
      <w:proofErr w:type="spellStart"/>
      <w:r w:rsidRPr="00677520">
        <w:rPr>
          <w:rFonts w:ascii="David" w:eastAsia="Times New Roman" w:hAnsi="David" w:cs="David" w:hint="cs"/>
          <w:sz w:val="28"/>
          <w:szCs w:val="28"/>
          <w:rtl/>
        </w:rPr>
        <w:t>אורינטציה</w:t>
      </w:r>
      <w:proofErr w:type="spellEnd"/>
      <w:r w:rsidRPr="00677520">
        <w:rPr>
          <w:rFonts w:ascii="David" w:eastAsia="Times New Roman" w:hAnsi="David" w:cs="David" w:hint="cs"/>
          <w:sz w:val="28"/>
          <w:szCs w:val="28"/>
          <w:rtl/>
        </w:rPr>
        <w:t xml:space="preserve"> עבריינית, כל כך הרבה פעולות גלויות עזות ומסוכנות תוך צירוף שותף פיקטיבי נוסף (מבלי שאותו שותף יודע שהוא פיקטיבי...) ותוך מעורבות של עו"ד שעורך הסכם פיקטיבי ( מבלי שהוא יודע זאת...) וגובה עבורו שכר טרחה, רק כדי לחסוך חסכון מס שולי ?!</w:t>
      </w:r>
    </w:p>
    <w:p w14:paraId="790A2E29" w14:textId="7FCD12E5" w:rsidR="00B92692" w:rsidRDefault="00B92692" w:rsidP="00C66AAE">
      <w:pPr>
        <w:pStyle w:val="a5"/>
        <w:shd w:val="clear" w:color="auto" w:fill="FFFFFF"/>
        <w:spacing w:after="0" w:line="360" w:lineRule="auto"/>
        <w:ind w:left="755"/>
        <w:jc w:val="both"/>
        <w:rPr>
          <w:rFonts w:ascii="David" w:eastAsia="Times New Roman" w:hAnsi="David" w:cs="David"/>
          <w:b/>
          <w:bCs/>
          <w:sz w:val="28"/>
          <w:szCs w:val="28"/>
          <w:rtl/>
        </w:rPr>
      </w:pPr>
      <w:r>
        <w:rPr>
          <w:rFonts w:ascii="David" w:eastAsia="Times New Roman" w:hAnsi="David" w:cs="David" w:hint="cs"/>
          <w:b/>
          <w:bCs/>
          <w:sz w:val="28"/>
          <w:szCs w:val="28"/>
          <w:rtl/>
        </w:rPr>
        <w:t>המערערים סבורים שהתשובה השלילית לתמי</w:t>
      </w:r>
      <w:r w:rsidR="00866B94">
        <w:rPr>
          <w:rFonts w:ascii="David" w:eastAsia="Times New Roman" w:hAnsi="David" w:cs="David" w:hint="cs"/>
          <w:b/>
          <w:bCs/>
          <w:sz w:val="28"/>
          <w:szCs w:val="28"/>
          <w:rtl/>
        </w:rPr>
        <w:t>ה</w:t>
      </w:r>
      <w:r>
        <w:rPr>
          <w:rFonts w:ascii="David" w:eastAsia="Times New Roman" w:hAnsi="David" w:cs="David" w:hint="cs"/>
          <w:b/>
          <w:bCs/>
          <w:sz w:val="28"/>
          <w:szCs w:val="28"/>
          <w:rtl/>
        </w:rPr>
        <w:t>ה הזו עולה מאליה.</w:t>
      </w:r>
    </w:p>
    <w:p w14:paraId="26DFBBE6" w14:textId="70383813" w:rsidR="00B92692" w:rsidRDefault="00B92692" w:rsidP="00C66AAE">
      <w:pPr>
        <w:pStyle w:val="a5"/>
        <w:shd w:val="clear" w:color="auto" w:fill="FFFFFF"/>
        <w:spacing w:after="0" w:line="360" w:lineRule="auto"/>
        <w:ind w:left="755"/>
        <w:jc w:val="both"/>
        <w:rPr>
          <w:rFonts w:ascii="David" w:eastAsia="Times New Roman" w:hAnsi="David" w:cs="David"/>
          <w:sz w:val="28"/>
          <w:szCs w:val="28"/>
          <w:rtl/>
        </w:rPr>
      </w:pPr>
    </w:p>
    <w:p w14:paraId="4418C68C" w14:textId="6FBC08AA" w:rsidR="00B92692" w:rsidRPr="00677520" w:rsidRDefault="00B92692" w:rsidP="00677520">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lastRenderedPageBreak/>
        <w:t>לס</w:t>
      </w:r>
      <w:r w:rsidR="00A20C87">
        <w:rPr>
          <w:rFonts w:ascii="David" w:eastAsia="Times New Roman" w:hAnsi="David" w:cs="David" w:hint="cs"/>
          <w:sz w:val="28"/>
          <w:szCs w:val="28"/>
          <w:rtl/>
        </w:rPr>
        <w:t>י</w:t>
      </w:r>
      <w:r>
        <w:rPr>
          <w:rFonts w:ascii="David" w:eastAsia="Times New Roman" w:hAnsi="David" w:cs="David" w:hint="cs"/>
          <w:sz w:val="28"/>
          <w:szCs w:val="28"/>
          <w:rtl/>
        </w:rPr>
        <w:t xml:space="preserve">כום טענתם הראשית של המערערים שלפיה עסקת יעדים הייתה עסקת אמת נאמר </w:t>
      </w:r>
      <w:proofErr w:type="spellStart"/>
      <w:r>
        <w:rPr>
          <w:rFonts w:ascii="David" w:eastAsia="Times New Roman" w:hAnsi="David" w:cs="David" w:hint="cs"/>
          <w:sz w:val="28"/>
          <w:szCs w:val="28"/>
          <w:rtl/>
        </w:rPr>
        <w:t>שתיזת</w:t>
      </w:r>
      <w:proofErr w:type="spellEnd"/>
      <w:r>
        <w:rPr>
          <w:rFonts w:ascii="David" w:eastAsia="Times New Roman" w:hAnsi="David" w:cs="David" w:hint="cs"/>
          <w:sz w:val="28"/>
          <w:szCs w:val="28"/>
          <w:rtl/>
        </w:rPr>
        <w:t xml:space="preserve"> השוחד עומדת  על אדנים </w:t>
      </w:r>
      <w:proofErr w:type="spellStart"/>
      <w:r>
        <w:rPr>
          <w:rFonts w:ascii="David" w:eastAsia="Times New Roman" w:hAnsi="David" w:cs="David" w:hint="cs"/>
          <w:sz w:val="28"/>
          <w:szCs w:val="28"/>
          <w:rtl/>
        </w:rPr>
        <w:t>השערתיים</w:t>
      </w:r>
      <w:proofErr w:type="spellEnd"/>
      <w:r>
        <w:rPr>
          <w:rFonts w:ascii="David" w:eastAsia="Times New Roman" w:hAnsi="David" w:cs="David" w:hint="cs"/>
          <w:sz w:val="28"/>
          <w:szCs w:val="28"/>
          <w:rtl/>
        </w:rPr>
        <w:t xml:space="preserve"> הרחוקים מלהיות יציבים ומוצקים כנדרש בפלילים.</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לעומת </w:t>
      </w:r>
      <w:proofErr w:type="spellStart"/>
      <w:r w:rsidRPr="00677520">
        <w:rPr>
          <w:rFonts w:ascii="David" w:eastAsia="Times New Roman" w:hAnsi="David" w:cs="David" w:hint="cs"/>
          <w:sz w:val="28"/>
          <w:szCs w:val="28"/>
          <w:rtl/>
        </w:rPr>
        <w:t>תיזת</w:t>
      </w:r>
      <w:proofErr w:type="spellEnd"/>
      <w:r w:rsidRPr="00677520">
        <w:rPr>
          <w:rFonts w:ascii="David" w:eastAsia="Times New Roman" w:hAnsi="David" w:cs="David" w:hint="cs"/>
          <w:sz w:val="28"/>
          <w:szCs w:val="28"/>
          <w:rtl/>
        </w:rPr>
        <w:t xml:space="preserve"> השוחד עומדות ראיות רבות וטובות שכמעט כל אחת מהן ,לבדה, די היה בה להעמיד בספק רב את קיומה של </w:t>
      </w:r>
      <w:proofErr w:type="spellStart"/>
      <w:r w:rsidRPr="00677520">
        <w:rPr>
          <w:rFonts w:ascii="David" w:eastAsia="Times New Roman" w:hAnsi="David" w:cs="David" w:hint="cs"/>
          <w:sz w:val="28"/>
          <w:szCs w:val="28"/>
          <w:rtl/>
        </w:rPr>
        <w:t>תיזת</w:t>
      </w:r>
      <w:proofErr w:type="spellEnd"/>
      <w:r w:rsidRPr="00677520">
        <w:rPr>
          <w:rFonts w:ascii="David" w:eastAsia="Times New Roman" w:hAnsi="David" w:cs="David" w:hint="cs"/>
          <w:sz w:val="28"/>
          <w:szCs w:val="28"/>
          <w:rtl/>
        </w:rPr>
        <w:t xml:space="preserve"> השוחד, לא כל שכן בהצטברותן יחדיו.</w:t>
      </w:r>
    </w:p>
    <w:p w14:paraId="1ACBFF71" w14:textId="77777777" w:rsidR="00866B94" w:rsidRDefault="00866B94" w:rsidP="00C66AAE">
      <w:pPr>
        <w:pStyle w:val="a5"/>
        <w:shd w:val="clear" w:color="auto" w:fill="FFFFFF"/>
        <w:spacing w:after="0" w:line="360" w:lineRule="auto"/>
        <w:ind w:left="755"/>
        <w:jc w:val="both"/>
        <w:rPr>
          <w:rFonts w:ascii="David" w:eastAsia="Times New Roman" w:hAnsi="David" w:cs="David"/>
          <w:sz w:val="28"/>
          <w:szCs w:val="28"/>
          <w:rtl/>
        </w:rPr>
      </w:pPr>
    </w:p>
    <w:p w14:paraId="7A8757BF" w14:textId="06BD6F09" w:rsidR="002A3230" w:rsidRPr="00677520" w:rsidRDefault="00866B94" w:rsidP="00677520">
      <w:pPr>
        <w:pStyle w:val="a5"/>
        <w:numPr>
          <w:ilvl w:val="0"/>
          <w:numId w:val="18"/>
        </w:num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 כאמור בסעיף 12 לעיל , טענתם החלופית של המערערים היא כי אפילו אם נקבל את מסקנת ביהמ"ש קמא כאמור בסעיף 198 להכרעת הדין לפיה בעסקת יעדים הועברה העברה כספית מדוידי למערער בסך 150,000 ₪ למטרה אישית ולא כנגד עסקת תיווך, הרי עדיין קיים מרחק רב מאוד עד להוצאת מסקנה וודאית שלפיה מדובר, דווקא, במתן שוחד מדוידי למערער 1.</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אפילו נקבל כמות שהן את כל ההשערות שעמדו בבסיס הקביעה השגויה שלפיה עסקת יעדים אינה עסקת תיווך אמיתית, הרי שהמסקנה הסבירה יותר היא שמדובר בהעברה כספית אישית בין שני חברים ובשעה שמערער 2 מצוי בקושי כלכלי.</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הסבירות שההעברה הכספית האישית הזו הוצגה כתשלום דמי תיווך במטרה להשיג יתרון מס לדוידי, גדולה יותר מהסבירות של </w:t>
      </w:r>
      <w:proofErr w:type="spellStart"/>
      <w:r w:rsidRPr="00677520">
        <w:rPr>
          <w:rFonts w:ascii="David" w:eastAsia="Times New Roman" w:hAnsi="David" w:cs="David" w:hint="cs"/>
          <w:sz w:val="28"/>
          <w:szCs w:val="28"/>
          <w:rtl/>
        </w:rPr>
        <w:t>תיזת</w:t>
      </w:r>
      <w:proofErr w:type="spellEnd"/>
      <w:r w:rsidRPr="00677520">
        <w:rPr>
          <w:rFonts w:ascii="David" w:eastAsia="Times New Roman" w:hAnsi="David" w:cs="David" w:hint="cs"/>
          <w:sz w:val="28"/>
          <w:szCs w:val="28"/>
          <w:rtl/>
        </w:rPr>
        <w:t xml:space="preserve"> השוחד המסוכנת והמסורבלת.</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ראוי לציין כי גם דוידי וגם מערער 2 העידו שמערער 2 ביקש את הקדמת התשלום שקבל מדוידי לצרכיו האישיים מבלי שפירט אותם.</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ביהמ"ש קמא נכון היה לקבל את הדברים הללו  אולם הוא הביע תמיהה על כך שדוידי לא נבר, חקר ובירר, מה הם בדיוק צרכיו האישיים של מערער 2 בטרם נענה לבקשתו.</w:t>
      </w:r>
      <w:r w:rsidR="00677520">
        <w:rPr>
          <w:rFonts w:ascii="David" w:eastAsia="Times New Roman" w:hAnsi="David" w:cs="David" w:hint="cs"/>
          <w:sz w:val="28"/>
          <w:szCs w:val="28"/>
          <w:rtl/>
        </w:rPr>
        <w:t xml:space="preserve"> </w:t>
      </w:r>
      <w:r w:rsidR="002A3230" w:rsidRPr="00677520">
        <w:rPr>
          <w:rFonts w:ascii="David" w:eastAsia="Times New Roman" w:hAnsi="David" w:cs="David" w:hint="cs"/>
          <w:sz w:val="28"/>
          <w:szCs w:val="28"/>
          <w:rtl/>
        </w:rPr>
        <w:t xml:space="preserve">לעניות </w:t>
      </w:r>
      <w:proofErr w:type="spellStart"/>
      <w:r w:rsidR="002A3230" w:rsidRPr="00677520">
        <w:rPr>
          <w:rFonts w:ascii="David" w:eastAsia="Times New Roman" w:hAnsi="David" w:cs="David" w:hint="cs"/>
          <w:sz w:val="28"/>
          <w:szCs w:val="28"/>
          <w:rtl/>
        </w:rPr>
        <w:t>דעתינו</w:t>
      </w:r>
      <w:proofErr w:type="spellEnd"/>
      <w:r w:rsidR="002A3230" w:rsidRPr="00677520">
        <w:rPr>
          <w:rFonts w:ascii="David" w:eastAsia="Times New Roman" w:hAnsi="David" w:cs="David" w:hint="cs"/>
          <w:sz w:val="28"/>
          <w:szCs w:val="28"/>
          <w:rtl/>
        </w:rPr>
        <w:t>, חקירה ודרישה שכזו מצד דוידי הייתה בבחינת גילוי חוסר רגישות מצדו ופגיעה בפרטיותו של מערער 2 שלא בצדק</w:t>
      </w:r>
      <w:r w:rsidR="00677520">
        <w:rPr>
          <w:rFonts w:ascii="David" w:eastAsia="Times New Roman" w:hAnsi="David" w:cs="David" w:hint="cs"/>
          <w:sz w:val="28"/>
          <w:szCs w:val="28"/>
          <w:rtl/>
        </w:rPr>
        <w:t xml:space="preserve">. </w:t>
      </w:r>
      <w:r w:rsidR="002A3230" w:rsidRPr="00677520">
        <w:rPr>
          <w:rFonts w:ascii="David" w:eastAsia="Times New Roman" w:hAnsi="David" w:cs="David" w:hint="cs"/>
          <w:sz w:val="28"/>
          <w:szCs w:val="28"/>
          <w:rtl/>
        </w:rPr>
        <w:t>ברם לענייננו נודעת חשיבות רבה לכך שדוידי העביר למערער 2 את הסכום הכספי המדובר מתוך ידיעה שהוא נועד לצרכיו האישיים מבלי שאותם צרכים פורטו</w:t>
      </w:r>
      <w:r w:rsidR="00677520">
        <w:rPr>
          <w:rFonts w:ascii="David" w:eastAsia="Times New Roman" w:hAnsi="David" w:cs="David" w:hint="cs"/>
          <w:sz w:val="28"/>
          <w:szCs w:val="28"/>
          <w:rtl/>
        </w:rPr>
        <w:t xml:space="preserve">. </w:t>
      </w:r>
      <w:r w:rsidR="002A3230" w:rsidRPr="00677520">
        <w:rPr>
          <w:rFonts w:ascii="David" w:eastAsia="Times New Roman" w:hAnsi="David" w:cs="David" w:hint="cs"/>
          <w:sz w:val="28"/>
          <w:szCs w:val="28"/>
          <w:rtl/>
        </w:rPr>
        <w:t>הנסיבות הללו מגדילות מאוד את הסבירות שגם אם מדובר בהעברה כספית אישית, לא מדובר בשום אופן בהברה כספית לצורך תשלום שוחד למערער 1.</w:t>
      </w:r>
      <w:r w:rsidR="00677520">
        <w:rPr>
          <w:rFonts w:ascii="David" w:eastAsia="Times New Roman" w:hAnsi="David" w:cs="David" w:hint="cs"/>
          <w:sz w:val="28"/>
          <w:szCs w:val="28"/>
          <w:rtl/>
        </w:rPr>
        <w:t xml:space="preserve"> </w:t>
      </w:r>
      <w:r w:rsidR="002A3230" w:rsidRPr="00677520">
        <w:rPr>
          <w:rFonts w:ascii="David" w:eastAsia="Times New Roman" w:hAnsi="David" w:cs="David" w:hint="cs"/>
          <w:sz w:val="28"/>
          <w:szCs w:val="28"/>
          <w:rtl/>
        </w:rPr>
        <w:t>קשה מאוד לקבל את מסקנתו מרחיקת הלכת של ביהמ"ש קמא שלפיה העדר החקירה והדרישה מצד דוידי עולה כדי "עצימת עיניים" השקולה לידיעה שהכספים שהעביר למערער 2 לצרכיו האישיים נועדו למערער 1 דווקא.</w:t>
      </w:r>
    </w:p>
    <w:p w14:paraId="5EA180B2" w14:textId="79395260" w:rsidR="002A3230" w:rsidRPr="00A20C87" w:rsidRDefault="002A3230" w:rsidP="00A20C87">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נחזור ונדגיש כי אין כל ראיה שהמערער 1 מצידו ידע שההעברות הכספיות שהעביר מערער 2 לטובתו מקורם בדוידי. כאמור לעיל הוכח שרוב ההעברות הללו, אין מקורן בדוידי.</w:t>
      </w:r>
      <w:r w:rsidR="00A20C87">
        <w:rPr>
          <w:rFonts w:ascii="David" w:eastAsia="Times New Roman" w:hAnsi="David" w:cs="David" w:hint="cs"/>
          <w:sz w:val="28"/>
          <w:szCs w:val="28"/>
          <w:rtl/>
        </w:rPr>
        <w:t xml:space="preserve"> </w:t>
      </w:r>
      <w:r w:rsidRPr="00A20C87">
        <w:rPr>
          <w:rFonts w:ascii="David" w:eastAsia="Times New Roman" w:hAnsi="David" w:cs="David" w:hint="cs"/>
          <w:sz w:val="28"/>
          <w:szCs w:val="28"/>
          <w:rtl/>
        </w:rPr>
        <w:t>לא הובאה כל ראייה לכך שהמערער 1 ידע על עצם קיומה של עסקת יעדים.</w:t>
      </w:r>
      <w:r w:rsidR="00A20C87">
        <w:rPr>
          <w:rFonts w:ascii="David" w:eastAsia="Times New Roman" w:hAnsi="David" w:cs="David" w:hint="cs"/>
          <w:sz w:val="28"/>
          <w:szCs w:val="28"/>
          <w:rtl/>
        </w:rPr>
        <w:t xml:space="preserve"> </w:t>
      </w:r>
      <w:r w:rsidRPr="00A20C87">
        <w:rPr>
          <w:rFonts w:ascii="David" w:eastAsia="Times New Roman" w:hAnsi="David" w:cs="David" w:hint="cs"/>
          <w:sz w:val="28"/>
          <w:szCs w:val="28"/>
          <w:rtl/>
        </w:rPr>
        <w:t>הוכח כי המערער 1 לא ידע כלל מהו גובה התשלום שקבל מערער 2.</w:t>
      </w:r>
      <w:r w:rsidR="00677520" w:rsidRPr="00A20C87">
        <w:rPr>
          <w:rFonts w:ascii="David" w:eastAsia="Times New Roman" w:hAnsi="David" w:cs="David" w:hint="cs"/>
          <w:sz w:val="28"/>
          <w:szCs w:val="28"/>
          <w:rtl/>
        </w:rPr>
        <w:t xml:space="preserve"> </w:t>
      </w:r>
      <w:r w:rsidRPr="00A20C87">
        <w:rPr>
          <w:rFonts w:ascii="David" w:eastAsia="Times New Roman" w:hAnsi="David" w:cs="David" w:hint="cs"/>
          <w:sz w:val="28"/>
          <w:szCs w:val="28"/>
          <w:rtl/>
        </w:rPr>
        <w:t>כל הנתונים הללו מטים עוד יותר, את הכף לטובת המסקנה שמדובר בהעברה פרטית אישית אבל לא במתן שוחד.</w:t>
      </w:r>
    </w:p>
    <w:p w14:paraId="416FD756" w14:textId="77777777" w:rsidR="00677520" w:rsidRPr="00677520" w:rsidRDefault="00677520" w:rsidP="00677520">
      <w:pPr>
        <w:shd w:val="clear" w:color="auto" w:fill="FFFFFF"/>
        <w:spacing w:after="0" w:line="360" w:lineRule="auto"/>
        <w:jc w:val="both"/>
        <w:rPr>
          <w:rFonts w:ascii="David" w:eastAsia="Times New Roman" w:hAnsi="David" w:cs="David"/>
          <w:sz w:val="28"/>
          <w:szCs w:val="28"/>
          <w:rtl/>
        </w:rPr>
      </w:pPr>
    </w:p>
    <w:p w14:paraId="0B574205" w14:textId="391FD019" w:rsidR="002A3230" w:rsidRDefault="002A3230" w:rsidP="00677520">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כאמור לעיל בסעיף 13, יטען המערער1 כי אפילו ייקבע  שהתשלום שש</w:t>
      </w:r>
      <w:r w:rsidR="005C67AB">
        <w:rPr>
          <w:rFonts w:ascii="David" w:eastAsia="Times New Roman" w:hAnsi="David" w:cs="David" w:hint="cs"/>
          <w:sz w:val="28"/>
          <w:szCs w:val="28"/>
          <w:rtl/>
        </w:rPr>
        <w:t>י</w:t>
      </w:r>
      <w:r>
        <w:rPr>
          <w:rFonts w:ascii="David" w:eastAsia="Times New Roman" w:hAnsi="David" w:cs="David" w:hint="cs"/>
          <w:sz w:val="28"/>
          <w:szCs w:val="28"/>
          <w:rtl/>
        </w:rPr>
        <w:t xml:space="preserve">לם לדוידי למערער 2 הינו תשלום שוחד עבור מערער 1 </w:t>
      </w:r>
      <w:proofErr w:type="spellStart"/>
      <w:r>
        <w:rPr>
          <w:rFonts w:ascii="David" w:eastAsia="Times New Roman" w:hAnsi="David" w:cs="David" w:hint="cs"/>
          <w:sz w:val="28"/>
          <w:szCs w:val="28"/>
          <w:rtl/>
        </w:rPr>
        <w:t>באיצטלא</w:t>
      </w:r>
      <w:proofErr w:type="spellEnd"/>
      <w:r>
        <w:rPr>
          <w:rFonts w:ascii="David" w:eastAsia="Times New Roman" w:hAnsi="David" w:cs="David" w:hint="cs"/>
          <w:sz w:val="28"/>
          <w:szCs w:val="28"/>
          <w:rtl/>
        </w:rPr>
        <w:t xml:space="preserve"> </w:t>
      </w:r>
      <w:r w:rsidR="005C67AB">
        <w:rPr>
          <w:rFonts w:ascii="David" w:eastAsia="Times New Roman" w:hAnsi="David" w:cs="David" w:hint="cs"/>
          <w:sz w:val="28"/>
          <w:szCs w:val="28"/>
          <w:rtl/>
        </w:rPr>
        <w:t>של עסקת תיווך הרי שלא היה מקום להרשיע גם את מערער 1 בעבירות של קבלת שוחד והלבנת הון.</w:t>
      </w:r>
    </w:p>
    <w:p w14:paraId="147F1C69" w14:textId="2A53B716" w:rsidR="005C67AB" w:rsidRDefault="005C67AB" w:rsidP="00677520">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אין מחלוקת שמערער 1 לא עשה בעצמו כל מעשה בנוגע לשתי העבירות הללו.</w:t>
      </w:r>
    </w:p>
    <w:p w14:paraId="3E55E4E3" w14:textId="444DCA8F" w:rsidR="005C67AB" w:rsidRPr="00677520" w:rsidRDefault="005C67AB" w:rsidP="00677520">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 xml:space="preserve">ביהמ"ש קמא קבע שהרשעתו של מערער 1 נגזרת </w:t>
      </w:r>
      <w:proofErr w:type="spellStart"/>
      <w:r>
        <w:rPr>
          <w:rFonts w:ascii="David" w:eastAsia="Times New Roman" w:hAnsi="David" w:cs="David" w:hint="cs"/>
          <w:sz w:val="28"/>
          <w:szCs w:val="28"/>
          <w:rtl/>
        </w:rPr>
        <w:t>מהיותו</w:t>
      </w:r>
      <w:proofErr w:type="spellEnd"/>
      <w:r>
        <w:rPr>
          <w:rFonts w:ascii="David" w:eastAsia="Times New Roman" w:hAnsi="David" w:cs="David" w:hint="cs"/>
          <w:sz w:val="28"/>
          <w:szCs w:val="28"/>
          <w:rtl/>
        </w:rPr>
        <w:t xml:space="preserve"> "מבצע בצוותא" ביחד עם המערער 2. </w:t>
      </w:r>
      <w:r w:rsidRPr="00677520">
        <w:rPr>
          <w:rFonts w:ascii="David" w:eastAsia="Times New Roman" w:hAnsi="David" w:cs="David" w:hint="cs"/>
          <w:sz w:val="28"/>
          <w:szCs w:val="28"/>
          <w:rtl/>
        </w:rPr>
        <w:t xml:space="preserve">בהכרעת הדין היה ביהמ"ש קמא מוכן להניח גם את האפשרות שהמערער 1 לא ידע שהכספים שהעביר אליו מערער 2 מקורם בדוידי אלא רק חשד בכך, </w:t>
      </w:r>
      <w:proofErr w:type="spellStart"/>
      <w:r w:rsidRPr="00677520">
        <w:rPr>
          <w:rFonts w:ascii="David" w:eastAsia="Times New Roman" w:hAnsi="David" w:cs="David" w:hint="cs"/>
          <w:sz w:val="28"/>
          <w:szCs w:val="28"/>
          <w:rtl/>
        </w:rPr>
        <w:t>ומכיון</w:t>
      </w:r>
      <w:proofErr w:type="spellEnd"/>
      <w:r w:rsidRPr="00677520">
        <w:rPr>
          <w:rFonts w:ascii="David" w:eastAsia="Times New Roman" w:hAnsi="David" w:cs="David" w:hint="cs"/>
          <w:sz w:val="28"/>
          <w:szCs w:val="28"/>
          <w:rtl/>
        </w:rPr>
        <w:t xml:space="preserve"> שנמנע לברר את חשדו הוא מוחזק כמי שידע זאת</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בהמשך נדון בשאלה האם כל חשד, בנוגע קיומן של נסיבות מסוימות, שלא בורר שקול כנגד ידיעת הנסיבות ונחלוק על כך.</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כאן נציין שתי טעויות משפטיות שנפלו בהכרעת הדין, כדלקמן: -</w:t>
      </w:r>
    </w:p>
    <w:p w14:paraId="1B35E972" w14:textId="77777777" w:rsidR="00677520" w:rsidRDefault="00677520" w:rsidP="00677520">
      <w:pPr>
        <w:pStyle w:val="a5"/>
        <w:shd w:val="clear" w:color="auto" w:fill="FFFFFF"/>
        <w:spacing w:after="0" w:line="360" w:lineRule="auto"/>
        <w:ind w:left="395"/>
        <w:jc w:val="both"/>
        <w:rPr>
          <w:rFonts w:ascii="David" w:eastAsia="Times New Roman" w:hAnsi="David" w:cs="David"/>
          <w:sz w:val="28"/>
          <w:szCs w:val="28"/>
          <w:rtl/>
        </w:rPr>
      </w:pPr>
    </w:p>
    <w:p w14:paraId="1CDE5022" w14:textId="143C8DC3" w:rsidR="005C67AB" w:rsidRPr="00677520" w:rsidRDefault="005C67AB" w:rsidP="00677520">
      <w:pPr>
        <w:pStyle w:val="a5"/>
        <w:numPr>
          <w:ilvl w:val="0"/>
          <w:numId w:val="25"/>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לא הוכח כלל שהמערער 1 היה מבצע בצוותא של עבירות לקיחת השוחד והלבנת ההון.</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סעיף 29(ב) לחוק העונשין מגדיר מי הוא מבצע בצוותא בזו הלשון:</w:t>
      </w:r>
    </w:p>
    <w:p w14:paraId="44CDD7EF" w14:textId="11850918" w:rsidR="005C67AB" w:rsidRDefault="005C67AB" w:rsidP="005C67AB">
      <w:pPr>
        <w:pStyle w:val="a5"/>
        <w:shd w:val="clear" w:color="auto" w:fill="FFFFFF"/>
        <w:spacing w:after="0" w:line="360" w:lineRule="auto"/>
        <w:ind w:left="755"/>
        <w:jc w:val="both"/>
        <w:rPr>
          <w:rFonts w:ascii="David" w:eastAsia="Times New Roman" w:hAnsi="David" w:cs="David"/>
          <w:sz w:val="28"/>
          <w:szCs w:val="28"/>
          <w:rtl/>
        </w:rPr>
      </w:pPr>
      <w:r>
        <w:rPr>
          <w:rFonts w:ascii="FrankRuehl" w:hAnsi="FrankRuehl" w:cs="FrankRuehl" w:hint="cs"/>
          <w:color w:val="000000"/>
          <w:sz w:val="26"/>
          <w:szCs w:val="26"/>
          <w:rtl/>
        </w:rPr>
        <w:t>"</w:t>
      </w:r>
      <w:r>
        <w:rPr>
          <w:rFonts w:ascii="FrankRuehl" w:hAnsi="FrankRuehl" w:cs="FrankRuehl"/>
          <w:color w:val="000000"/>
          <w:sz w:val="26"/>
          <w:szCs w:val="26"/>
          <w:rtl/>
        </w:rPr>
        <w:t>המשתתפים בביצוע עבירה תוך עשיית מעשים לביצועה, הם מבצעים בצוותא, ואין נפקה מינה אם כל המעשים נעשו ביחד, או אם נעשו מקצתם בידי אחד ומקצתם בידי אחר</w:t>
      </w:r>
      <w:r>
        <w:rPr>
          <w:rFonts w:ascii="FrankRuehl" w:hAnsi="FrankRuehl" w:cs="FrankRuehl"/>
          <w:color w:val="000000"/>
          <w:sz w:val="26"/>
          <w:szCs w:val="26"/>
        </w:rPr>
        <w:t>.</w:t>
      </w:r>
      <w:r>
        <w:rPr>
          <w:rFonts w:ascii="David" w:eastAsia="Times New Roman" w:hAnsi="David" w:cs="David" w:hint="cs"/>
          <w:sz w:val="28"/>
          <w:szCs w:val="28"/>
          <w:rtl/>
        </w:rPr>
        <w:t>"</w:t>
      </w:r>
    </w:p>
    <w:p w14:paraId="37BA86A1" w14:textId="1D9D4527" w:rsidR="005C67AB" w:rsidRDefault="005C67AB" w:rsidP="005C67AB">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t xml:space="preserve">ביהמ"ש קמא לא נימק כלל מדוע הוא רואה במערער 1 "מבצע בצוותא" שהרי הוא לא השתתף כלל בביצוע העבירות </w:t>
      </w:r>
      <w:r w:rsidR="00CE5EF0">
        <w:rPr>
          <w:rFonts w:ascii="David" w:eastAsia="Times New Roman" w:hAnsi="David" w:cs="David" w:hint="cs"/>
          <w:sz w:val="28"/>
          <w:szCs w:val="28"/>
          <w:rtl/>
        </w:rPr>
        <w:t>ולא עשה כל מעשה לשם ביצוען.</w:t>
      </w:r>
    </w:p>
    <w:p w14:paraId="35729920" w14:textId="77777777" w:rsidR="00677520" w:rsidRDefault="00677520" w:rsidP="005C67AB">
      <w:pPr>
        <w:pStyle w:val="a5"/>
        <w:shd w:val="clear" w:color="auto" w:fill="FFFFFF"/>
        <w:spacing w:after="0" w:line="360" w:lineRule="auto"/>
        <w:ind w:left="755"/>
        <w:jc w:val="both"/>
        <w:rPr>
          <w:rFonts w:ascii="David" w:eastAsia="Times New Roman" w:hAnsi="David" w:cs="David"/>
          <w:sz w:val="28"/>
          <w:szCs w:val="28"/>
          <w:rtl/>
        </w:rPr>
      </w:pPr>
    </w:p>
    <w:p w14:paraId="077EE9DB" w14:textId="5C0248E5" w:rsidR="00CE5EF0" w:rsidRPr="00677520" w:rsidRDefault="00CE5EF0" w:rsidP="00677520">
      <w:pPr>
        <w:pStyle w:val="a5"/>
        <w:numPr>
          <w:ilvl w:val="0"/>
          <w:numId w:val="25"/>
        </w:num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אפילו אם היה מערער 1 יודע בוודאות שההעברות הכספיות שהעביר מערער 2 לטובתו, מקורן בדוידי (מה שלא הוכח, כאמור לעיל), הרי שבשום אופן לא הוכח שהמערער 1 ידע או אפילו חשד שמקור ההעברות הכספיות מדוידי למערער 2 אינו בגין עסקאות אמת.</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יתירה מזו, ביהמ"ש קמא קבע במפורש כי בגין עסקאות האמת שנערכו בין דוידי לבין מערער 2 בסכום כולל של 216,000 ש"ח ששולמו  למערער 2 כדמי תיווך, לא ראוי להרשיע את מערער 1 בעבירת שוחד בשל היותן עסקאות אמת.</w:t>
      </w:r>
    </w:p>
    <w:p w14:paraId="30F215CA" w14:textId="08691DB2" w:rsidR="00CE5EF0" w:rsidRDefault="00CE5EF0" w:rsidP="00CE5EF0">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t>לפיכך לא ברורה כלל קביעתו של ביהמ"ש קמא שלפיה המערער 1 ידע שמקור הכספים שקיבל מערער 2 מדוידי בגין עסקת יעדים, אינו בעבור עסקת אמת כפי שקבל ב-12 העסקאות הרצופות שקדמו לה.</w:t>
      </w:r>
    </w:p>
    <w:p w14:paraId="43A4EA90" w14:textId="77777777" w:rsidR="00677520" w:rsidRDefault="00677520" w:rsidP="00CE5EF0">
      <w:pPr>
        <w:pStyle w:val="a5"/>
        <w:shd w:val="clear" w:color="auto" w:fill="FFFFFF"/>
        <w:spacing w:after="0" w:line="360" w:lineRule="auto"/>
        <w:ind w:left="755"/>
        <w:jc w:val="both"/>
        <w:rPr>
          <w:rFonts w:ascii="David" w:eastAsia="Times New Roman" w:hAnsi="David" w:cs="David"/>
          <w:sz w:val="28"/>
          <w:szCs w:val="28"/>
          <w:rtl/>
        </w:rPr>
      </w:pPr>
    </w:p>
    <w:p w14:paraId="075FAF21" w14:textId="4C1DC7C0" w:rsidR="00CE5EF0" w:rsidRPr="00677520" w:rsidRDefault="00CE5EF0" w:rsidP="00677520">
      <w:pPr>
        <w:pStyle w:val="a5"/>
        <w:numPr>
          <w:ilvl w:val="0"/>
          <w:numId w:val="18"/>
        </w:num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כאמור בסעיף 14 לעיל כחלופה האחרונה יטען המערער 1 כי לא היה כל מקום להרשיעו בעבירה של "איסור הלבנת הון" שהרי אפילו לא נטען, ובוודאי שלא הוכח, שהמערער 1 ידע שכספי השוחד מועברים אליו מדוידי תוך שימוש כוזב </w:t>
      </w:r>
      <w:r>
        <w:rPr>
          <w:rFonts w:ascii="David" w:eastAsia="Times New Roman" w:hAnsi="David" w:cs="David" w:hint="cs"/>
          <w:sz w:val="28"/>
          <w:szCs w:val="28"/>
          <w:rtl/>
        </w:rPr>
        <w:lastRenderedPageBreak/>
        <w:t>בפנקסי החשבונות של דוידי והמערער 2.</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בהעדר ידיעה כזו לא יכולות להתקיים במערער 1 יסודות העבירה של איסור הלבנת הון.</w:t>
      </w:r>
    </w:p>
    <w:p w14:paraId="07850A11" w14:textId="77777777" w:rsidR="00677520" w:rsidRDefault="00677520" w:rsidP="00CE5EF0">
      <w:pPr>
        <w:pStyle w:val="a5"/>
        <w:shd w:val="clear" w:color="auto" w:fill="FFFFFF"/>
        <w:spacing w:after="0" w:line="360" w:lineRule="auto"/>
        <w:ind w:left="395"/>
        <w:jc w:val="both"/>
        <w:rPr>
          <w:rFonts w:ascii="David" w:eastAsia="Times New Roman" w:hAnsi="David" w:cs="David"/>
          <w:sz w:val="28"/>
          <w:szCs w:val="28"/>
          <w:rtl/>
        </w:rPr>
      </w:pPr>
    </w:p>
    <w:p w14:paraId="7BF7BF08" w14:textId="5F7A3E7C" w:rsidR="00CE5EF0" w:rsidRDefault="00CE5EF0" w:rsidP="00CE5EF0">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בהכרעת הדין קבע ביהמ"ש קמא כי ישנה אפשרות ש</w:t>
      </w:r>
      <w:r w:rsidR="00A20C87">
        <w:rPr>
          <w:rFonts w:ascii="David" w:eastAsia="Times New Roman" w:hAnsi="David" w:cs="David" w:hint="cs"/>
          <w:sz w:val="28"/>
          <w:szCs w:val="28"/>
          <w:rtl/>
        </w:rPr>
        <w:t>מ</w:t>
      </w:r>
      <w:r>
        <w:rPr>
          <w:rFonts w:ascii="David" w:eastAsia="Times New Roman" w:hAnsi="David" w:cs="David" w:hint="cs"/>
          <w:sz w:val="28"/>
          <w:szCs w:val="28"/>
          <w:rtl/>
        </w:rPr>
        <w:t xml:space="preserve">ערער 1 חשד שההעברות הכספיות שהעביר מערער 2 לטובתו, מקורן בדוידי, </w:t>
      </w:r>
      <w:proofErr w:type="spellStart"/>
      <w:r>
        <w:rPr>
          <w:rFonts w:ascii="David" w:eastAsia="Times New Roman" w:hAnsi="David" w:cs="David" w:hint="cs"/>
          <w:sz w:val="28"/>
          <w:szCs w:val="28"/>
          <w:rtl/>
        </w:rPr>
        <w:t>ומכיון</w:t>
      </w:r>
      <w:proofErr w:type="spellEnd"/>
      <w:r>
        <w:rPr>
          <w:rFonts w:ascii="David" w:eastAsia="Times New Roman" w:hAnsi="David" w:cs="David" w:hint="cs"/>
          <w:sz w:val="28"/>
          <w:szCs w:val="28"/>
          <w:rtl/>
        </w:rPr>
        <w:t xml:space="preserve"> שהוא נמנע לברר את חשדו הוא מוחזק כמי שידע נסיבה זו.</w:t>
      </w:r>
    </w:p>
    <w:p w14:paraId="17259F72" w14:textId="5567F023" w:rsidR="00CE5EF0" w:rsidRDefault="00CE5EF0" w:rsidP="00AB2846">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בכך שגה ביהמ"ש קמא שגיאה משפטית</w:t>
      </w:r>
      <w:r w:rsidR="00AB2846">
        <w:rPr>
          <w:rFonts w:ascii="David" w:eastAsia="Times New Roman" w:hAnsi="David" w:cs="David" w:hint="cs"/>
          <w:sz w:val="28"/>
          <w:szCs w:val="28"/>
          <w:rtl/>
        </w:rPr>
        <w:t>. שהרי לא כל חשד שלא בורר יוצר חזקה של ידיעת הנסיבות מכוח הכלל המשפטי בדבר "עצימת עיניים". רק חשד ברמה גבוה מאוד של הסתברות שלא בורר עלול להוליד את החזקה בדבר ידיעת הנסיבות. חשד ברמה גבוה כזו לא הוכח במקרה שלפנינו שבו,</w:t>
      </w:r>
      <w:r w:rsidR="00AB2846">
        <w:rPr>
          <w:rFonts w:ascii="David" w:eastAsia="Times New Roman" w:hAnsi="David" w:cs="David" w:hint="cs"/>
          <w:b/>
          <w:bCs/>
          <w:sz w:val="28"/>
          <w:szCs w:val="28"/>
          <w:rtl/>
        </w:rPr>
        <w:t xml:space="preserve"> כעובדה, </w:t>
      </w:r>
      <w:r w:rsidR="00AB2846">
        <w:rPr>
          <w:rFonts w:ascii="David" w:eastAsia="Times New Roman" w:hAnsi="David" w:cs="David" w:hint="cs"/>
          <w:sz w:val="28"/>
          <w:szCs w:val="28"/>
          <w:rtl/>
        </w:rPr>
        <w:t xml:space="preserve">רוב הכספים שהעביר מערער 2 לטובת מערער 1 </w:t>
      </w:r>
      <w:r w:rsidR="00AB2846">
        <w:rPr>
          <w:rFonts w:ascii="David" w:eastAsia="Times New Roman" w:hAnsi="David" w:cs="David"/>
          <w:sz w:val="28"/>
          <w:szCs w:val="28"/>
          <w:rtl/>
        </w:rPr>
        <w:t>–</w:t>
      </w:r>
      <w:r w:rsidR="00AB2846">
        <w:rPr>
          <w:rFonts w:ascii="David" w:eastAsia="Times New Roman" w:hAnsi="David" w:cs="David" w:hint="cs"/>
          <w:sz w:val="28"/>
          <w:szCs w:val="28"/>
          <w:rtl/>
        </w:rPr>
        <w:t xml:space="preserve"> מקורן אינו בדוידי.</w:t>
      </w:r>
    </w:p>
    <w:p w14:paraId="1E9B9AB7" w14:textId="7B549887" w:rsidR="006911E9" w:rsidRPr="00677520" w:rsidRDefault="00AB2846" w:rsidP="00677520">
      <w:pPr>
        <w:pStyle w:val="a5"/>
        <w:numPr>
          <w:ilvl w:val="0"/>
          <w:numId w:val="18"/>
        </w:num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קביעה משפטית נוספת שהמערער 1 חולק עליה הינה שהסכמתו של מערער 1 לקבל כספים ממערער 2 אפילו אם מקורן בעסקאות אמת בין מערער 2 לדוידי, מגבשת ביצוע עבירה של הפרת אמונים ע"י מערער 1.</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קביעה משפטית זו רלוונטית גם להרשעת המערער באישום 2 ובאישום 4. לטענת המערער קביעה זו מרחיבה, שלא בצדק, את גבולות הגזרה של עבירת הפרת האמונים כפי שנקבעו ב"הלכת שבס".</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מערער 1 יטען כי גיוס הכספים שבוצע ע"י </w:t>
      </w:r>
      <w:proofErr w:type="spellStart"/>
      <w:r w:rsidRPr="00677520">
        <w:rPr>
          <w:rFonts w:ascii="David" w:eastAsia="Times New Roman" w:hAnsi="David" w:cs="David" w:hint="cs"/>
          <w:sz w:val="28"/>
          <w:szCs w:val="28"/>
          <w:rtl/>
        </w:rPr>
        <w:t>פונטה</w:t>
      </w:r>
      <w:proofErr w:type="spellEnd"/>
      <w:r w:rsidRPr="00677520">
        <w:rPr>
          <w:rFonts w:ascii="David" w:eastAsia="Times New Roman" w:hAnsi="David" w:cs="David" w:hint="cs"/>
          <w:sz w:val="28"/>
          <w:szCs w:val="28"/>
          <w:rtl/>
        </w:rPr>
        <w:t xml:space="preserve"> למערער 2 </w:t>
      </w:r>
      <w:r w:rsidRPr="00677520">
        <w:rPr>
          <w:rFonts w:ascii="David" w:eastAsia="Times New Roman" w:hAnsi="David" w:cs="David"/>
          <w:sz w:val="28"/>
          <w:szCs w:val="28"/>
          <w:rtl/>
        </w:rPr>
        <w:t>–</w:t>
      </w:r>
      <w:r w:rsidRPr="00677520">
        <w:rPr>
          <w:rFonts w:ascii="David" w:eastAsia="Times New Roman" w:hAnsi="David" w:cs="David" w:hint="cs"/>
          <w:sz w:val="28"/>
          <w:szCs w:val="28"/>
          <w:rtl/>
        </w:rPr>
        <w:t xml:space="preserve"> לא יכול היה לעלות כדי עבירה של הפרת אמונים מצידו.</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חשוב להדגיש</w:t>
      </w:r>
      <w:r w:rsidR="006911E9" w:rsidRPr="00677520">
        <w:rPr>
          <w:rFonts w:ascii="David" w:eastAsia="Times New Roman" w:hAnsi="David" w:cs="David" w:hint="cs"/>
          <w:sz w:val="28"/>
          <w:szCs w:val="28"/>
          <w:rtl/>
        </w:rPr>
        <w:t xml:space="preserve">: מבחינת המערער 1 הכספים שהוא קבל </w:t>
      </w:r>
      <w:proofErr w:type="spellStart"/>
      <w:r w:rsidR="006911E9" w:rsidRPr="00677520">
        <w:rPr>
          <w:rFonts w:ascii="David" w:eastAsia="Times New Roman" w:hAnsi="David" w:cs="David" w:hint="cs"/>
          <w:sz w:val="28"/>
          <w:szCs w:val="28"/>
          <w:rtl/>
        </w:rPr>
        <w:t>מפונטה</w:t>
      </w:r>
      <w:proofErr w:type="spellEnd"/>
      <w:r w:rsidR="006911E9" w:rsidRPr="00677520">
        <w:rPr>
          <w:rFonts w:ascii="David" w:eastAsia="Times New Roman" w:hAnsi="David" w:cs="David" w:hint="cs"/>
          <w:sz w:val="28"/>
          <w:szCs w:val="28"/>
          <w:rtl/>
        </w:rPr>
        <w:t xml:space="preserve"> ומהמערער 2 היו, </w:t>
      </w:r>
      <w:r w:rsidR="006911E9" w:rsidRPr="00677520">
        <w:rPr>
          <w:rFonts w:ascii="David" w:eastAsia="Times New Roman" w:hAnsi="David" w:cs="David" w:hint="cs"/>
          <w:b/>
          <w:bCs/>
          <w:sz w:val="28"/>
          <w:szCs w:val="28"/>
          <w:rtl/>
        </w:rPr>
        <w:t>לכל דבר וענין</w:t>
      </w:r>
      <w:r w:rsidR="006911E9" w:rsidRPr="00677520">
        <w:rPr>
          <w:rFonts w:ascii="David" w:eastAsia="Times New Roman" w:hAnsi="David" w:cs="David" w:hint="cs"/>
          <w:sz w:val="28"/>
          <w:szCs w:val="28"/>
          <w:rtl/>
        </w:rPr>
        <w:t xml:space="preserve">, כספיהם של השניים בלבד שהרי הם גייסו את הכספים או ממקורותיהם שלהם או מהלוואות שנטלו בעבורם </w:t>
      </w:r>
      <w:r w:rsidR="006911E9" w:rsidRPr="00677520">
        <w:rPr>
          <w:rFonts w:ascii="David" w:eastAsia="Times New Roman" w:hAnsi="David" w:cs="David" w:hint="cs"/>
          <w:b/>
          <w:bCs/>
          <w:sz w:val="28"/>
          <w:szCs w:val="28"/>
          <w:rtl/>
        </w:rPr>
        <w:t>ובעבורם בלבד.</w:t>
      </w:r>
      <w:r w:rsidR="00677520">
        <w:rPr>
          <w:rFonts w:ascii="David" w:eastAsia="Times New Roman" w:hAnsi="David" w:cs="David" w:hint="cs"/>
          <w:b/>
          <w:bCs/>
          <w:sz w:val="28"/>
          <w:szCs w:val="28"/>
          <w:rtl/>
        </w:rPr>
        <w:t xml:space="preserve"> </w:t>
      </w:r>
      <w:proofErr w:type="spellStart"/>
      <w:r w:rsidR="006911E9" w:rsidRPr="00677520">
        <w:rPr>
          <w:rFonts w:ascii="David" w:eastAsia="Times New Roman" w:hAnsi="David" w:cs="David" w:hint="cs"/>
          <w:sz w:val="28"/>
          <w:szCs w:val="28"/>
          <w:rtl/>
        </w:rPr>
        <w:t>הדסקרטיות</w:t>
      </w:r>
      <w:proofErr w:type="spellEnd"/>
      <w:r w:rsidR="006911E9" w:rsidRPr="00677520">
        <w:rPr>
          <w:rFonts w:ascii="David" w:eastAsia="Times New Roman" w:hAnsi="David" w:cs="David" w:hint="cs"/>
          <w:sz w:val="28"/>
          <w:szCs w:val="28"/>
          <w:rtl/>
        </w:rPr>
        <w:t xml:space="preserve"> שהתחייבה בנסיבות הרגישות של העניין חייבה את</w:t>
      </w:r>
      <w:r w:rsidR="006911E9" w:rsidRPr="00677520">
        <w:rPr>
          <w:rFonts w:ascii="David" w:eastAsia="Times New Roman" w:hAnsi="David" w:cs="David" w:hint="cs"/>
          <w:b/>
          <w:bCs/>
          <w:sz w:val="28"/>
          <w:szCs w:val="28"/>
          <w:rtl/>
        </w:rPr>
        <w:t xml:space="preserve"> אי</w:t>
      </w:r>
      <w:r w:rsidR="00677520">
        <w:rPr>
          <w:rFonts w:ascii="David" w:eastAsia="Times New Roman" w:hAnsi="David" w:cs="David" w:hint="cs"/>
          <w:b/>
          <w:bCs/>
          <w:sz w:val="28"/>
          <w:szCs w:val="28"/>
          <w:rtl/>
        </w:rPr>
        <w:t xml:space="preserve"> </w:t>
      </w:r>
      <w:r w:rsidR="006911E9" w:rsidRPr="00677520">
        <w:rPr>
          <w:rFonts w:ascii="David" w:eastAsia="Times New Roman" w:hAnsi="David" w:cs="David" w:hint="cs"/>
          <w:b/>
          <w:bCs/>
          <w:sz w:val="28"/>
          <w:szCs w:val="28"/>
          <w:rtl/>
        </w:rPr>
        <w:t>ידיעת</w:t>
      </w:r>
      <w:r w:rsidR="001B4728" w:rsidRPr="00677520">
        <w:rPr>
          <w:rFonts w:ascii="David" w:eastAsia="Times New Roman" w:hAnsi="David" w:cs="David" w:hint="cs"/>
          <w:sz w:val="28"/>
          <w:szCs w:val="28"/>
          <w:rtl/>
        </w:rPr>
        <w:t xml:space="preserve"> המלווים </w:t>
      </w:r>
      <w:proofErr w:type="spellStart"/>
      <w:r w:rsidR="001B4728" w:rsidRPr="00677520">
        <w:rPr>
          <w:rFonts w:ascii="David" w:eastAsia="Times New Roman" w:hAnsi="David" w:cs="David" w:hint="cs"/>
          <w:sz w:val="28"/>
          <w:szCs w:val="28"/>
          <w:rtl/>
        </w:rPr>
        <w:t>לפונטה</w:t>
      </w:r>
      <w:proofErr w:type="spellEnd"/>
      <w:r w:rsidR="001B4728" w:rsidRPr="00677520">
        <w:rPr>
          <w:rFonts w:ascii="David" w:eastAsia="Times New Roman" w:hAnsi="David" w:cs="David" w:hint="cs"/>
          <w:sz w:val="28"/>
          <w:szCs w:val="28"/>
          <w:rtl/>
        </w:rPr>
        <w:t xml:space="preserve"> ולמערער 2, מהו השימוש שיעשו השניים בהלוואות שנתנו להם.</w:t>
      </w:r>
    </w:p>
    <w:p w14:paraId="36C3B1B8" w14:textId="77777777" w:rsidR="00677520" w:rsidRDefault="00677520" w:rsidP="00AB2846">
      <w:pPr>
        <w:pStyle w:val="a5"/>
        <w:shd w:val="clear" w:color="auto" w:fill="FFFFFF"/>
        <w:spacing w:after="0" w:line="360" w:lineRule="auto"/>
        <w:ind w:left="395"/>
        <w:jc w:val="both"/>
        <w:rPr>
          <w:rFonts w:ascii="David" w:eastAsia="Times New Roman" w:hAnsi="David" w:cs="David"/>
          <w:sz w:val="28"/>
          <w:szCs w:val="28"/>
          <w:rtl/>
        </w:rPr>
      </w:pPr>
    </w:p>
    <w:p w14:paraId="51DEE53F" w14:textId="14689DD5" w:rsidR="001B4728" w:rsidRDefault="001B4728" w:rsidP="001B4728">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מכל בחינה שהיא לא היה קיים כל קשר בין במלווים למערער 1 שמצידו היה </w:t>
      </w:r>
      <w:proofErr w:type="spellStart"/>
      <w:r>
        <w:rPr>
          <w:rFonts w:ascii="David" w:eastAsia="Times New Roman" w:hAnsi="David" w:cs="David" w:hint="cs"/>
          <w:sz w:val="28"/>
          <w:szCs w:val="28"/>
          <w:rtl/>
        </w:rPr>
        <w:t>מחוייב</w:t>
      </w:r>
      <w:proofErr w:type="spellEnd"/>
      <w:r>
        <w:rPr>
          <w:rFonts w:ascii="David" w:eastAsia="Times New Roman" w:hAnsi="David" w:cs="David" w:hint="cs"/>
          <w:sz w:val="28"/>
          <w:szCs w:val="28"/>
          <w:rtl/>
        </w:rPr>
        <w:t xml:space="preserve"> להחזיר את הכספים למערער 2 </w:t>
      </w:r>
      <w:proofErr w:type="spellStart"/>
      <w:r>
        <w:rPr>
          <w:rFonts w:ascii="David" w:eastAsia="Times New Roman" w:hAnsi="David" w:cs="David" w:hint="cs"/>
          <w:sz w:val="28"/>
          <w:szCs w:val="28"/>
          <w:rtl/>
        </w:rPr>
        <w:t>ולפונטה</w:t>
      </w:r>
      <w:proofErr w:type="spellEnd"/>
      <w:r>
        <w:rPr>
          <w:rFonts w:ascii="David" w:eastAsia="Times New Roman" w:hAnsi="David" w:cs="David" w:hint="cs"/>
          <w:sz w:val="28"/>
          <w:szCs w:val="28"/>
          <w:rtl/>
        </w:rPr>
        <w:t xml:space="preserve">  </w:t>
      </w:r>
      <w:r w:rsidRPr="001B4728">
        <w:rPr>
          <w:rFonts w:ascii="David" w:eastAsia="Times New Roman" w:hAnsi="David" w:cs="David" w:hint="cs"/>
          <w:b/>
          <w:bCs/>
          <w:sz w:val="28"/>
          <w:szCs w:val="28"/>
          <w:rtl/>
        </w:rPr>
        <w:t>ולהם בלבד.</w:t>
      </w:r>
    </w:p>
    <w:p w14:paraId="46D9ECEE" w14:textId="4A728F3A" w:rsidR="003656D0" w:rsidRPr="00B11D77" w:rsidRDefault="001B4728" w:rsidP="00B11D77">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 xml:space="preserve">לפיכך, </w:t>
      </w:r>
      <w:proofErr w:type="spellStart"/>
      <w:r>
        <w:rPr>
          <w:rFonts w:ascii="David" w:eastAsia="Times New Roman" w:hAnsi="David" w:cs="David" w:hint="cs"/>
          <w:sz w:val="28"/>
          <w:szCs w:val="28"/>
          <w:rtl/>
        </w:rPr>
        <w:t>ומכיון</w:t>
      </w:r>
      <w:proofErr w:type="spellEnd"/>
      <w:r>
        <w:rPr>
          <w:rFonts w:ascii="David" w:eastAsia="Times New Roman" w:hAnsi="David" w:cs="David" w:hint="cs"/>
          <w:sz w:val="28"/>
          <w:szCs w:val="28"/>
          <w:rtl/>
        </w:rPr>
        <w:t xml:space="preserve"> שהוכח שהמלווים </w:t>
      </w:r>
      <w:proofErr w:type="spellStart"/>
      <w:r>
        <w:rPr>
          <w:rFonts w:ascii="David" w:eastAsia="Times New Roman" w:hAnsi="David" w:cs="David" w:hint="cs"/>
          <w:sz w:val="28"/>
          <w:szCs w:val="28"/>
          <w:rtl/>
        </w:rPr>
        <w:t>לפונטה</w:t>
      </w:r>
      <w:proofErr w:type="spellEnd"/>
      <w:r>
        <w:rPr>
          <w:rFonts w:ascii="David" w:eastAsia="Times New Roman" w:hAnsi="David" w:cs="David" w:hint="cs"/>
          <w:sz w:val="28"/>
          <w:szCs w:val="28"/>
          <w:rtl/>
        </w:rPr>
        <w:t xml:space="preserve"> ולמערער 2 עשו כן במטרה אחת ויחידה והיא להלוות כספים </w:t>
      </w:r>
      <w:proofErr w:type="spellStart"/>
      <w:r>
        <w:rPr>
          <w:rFonts w:ascii="David" w:eastAsia="Times New Roman" w:hAnsi="David" w:cs="David" w:hint="cs"/>
          <w:sz w:val="28"/>
          <w:szCs w:val="28"/>
          <w:rtl/>
        </w:rPr>
        <w:t>לפונטה</w:t>
      </w:r>
      <w:proofErr w:type="spellEnd"/>
      <w:r>
        <w:rPr>
          <w:rFonts w:ascii="David" w:eastAsia="Times New Roman" w:hAnsi="David" w:cs="David" w:hint="cs"/>
          <w:sz w:val="28"/>
          <w:szCs w:val="28"/>
          <w:rtl/>
        </w:rPr>
        <w:t xml:space="preserve"> ולמערער 2 בלבד, הרי שלא הייתה כל </w:t>
      </w:r>
      <w:proofErr w:type="spellStart"/>
      <w:r>
        <w:rPr>
          <w:rFonts w:ascii="David" w:eastAsia="Times New Roman" w:hAnsi="David" w:cs="David" w:hint="cs"/>
          <w:sz w:val="28"/>
          <w:szCs w:val="28"/>
          <w:rtl/>
        </w:rPr>
        <w:t>רלונטיות</w:t>
      </w:r>
      <w:proofErr w:type="spellEnd"/>
      <w:r>
        <w:rPr>
          <w:rFonts w:ascii="David" w:eastAsia="Times New Roman" w:hAnsi="David" w:cs="David" w:hint="cs"/>
          <w:sz w:val="28"/>
          <w:szCs w:val="28"/>
          <w:rtl/>
        </w:rPr>
        <w:t xml:space="preserve"> לזהותם של אותם המלווים.</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מטעמי זהירות ראויים ביקש המערער 1 שההלוואות לא יילקחו מגורמים העומדים בקשרי עבודה עם עיריית אשקלון. אולם, אפילו נלקחו הלוואות ע"י </w:t>
      </w:r>
      <w:proofErr w:type="spellStart"/>
      <w:r w:rsidRPr="00677520">
        <w:rPr>
          <w:rFonts w:ascii="David" w:eastAsia="Times New Roman" w:hAnsi="David" w:cs="David" w:hint="cs"/>
          <w:sz w:val="28"/>
          <w:szCs w:val="28"/>
          <w:rtl/>
        </w:rPr>
        <w:t>פונטה</w:t>
      </w:r>
      <w:proofErr w:type="spellEnd"/>
      <w:r w:rsidRPr="00677520">
        <w:rPr>
          <w:rFonts w:ascii="David" w:eastAsia="Times New Roman" w:hAnsi="David" w:cs="David" w:hint="cs"/>
          <w:sz w:val="28"/>
          <w:szCs w:val="28"/>
          <w:rtl/>
        </w:rPr>
        <w:t xml:space="preserve"> ומערער 2 מגורמים המצויים בקשרי עבודה עם עיריית אשקלון ואפילו אם מערער 1 היה יודע על כך </w:t>
      </w:r>
      <w:r w:rsidRPr="00677520">
        <w:rPr>
          <w:rFonts w:ascii="David" w:eastAsia="Times New Roman" w:hAnsi="David" w:cs="David"/>
          <w:sz w:val="28"/>
          <w:szCs w:val="28"/>
          <w:rtl/>
        </w:rPr>
        <w:t>–</w:t>
      </w:r>
      <w:r w:rsidRPr="00677520">
        <w:rPr>
          <w:rFonts w:ascii="David" w:eastAsia="Times New Roman" w:hAnsi="David" w:cs="David" w:hint="cs"/>
          <w:sz w:val="28"/>
          <w:szCs w:val="28"/>
          <w:rtl/>
        </w:rPr>
        <w:t xml:space="preserve"> לא היה בכך כדי להרשיעו בעבירה של הפרת אמונים. זאת משום שהפרמטר השובע והמכריע הינו טיב ידיעתם של אותם הגורמים שהלוו את הכספים והאם הם ידעו שהלוואתם מיועדת, בסופו של דבר, לצרכיו של המערער 1.</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בה</w:t>
      </w:r>
      <w:r w:rsidR="00B11D77">
        <w:rPr>
          <w:rFonts w:ascii="David" w:eastAsia="Times New Roman" w:hAnsi="David" w:cs="David" w:hint="cs"/>
          <w:sz w:val="28"/>
          <w:szCs w:val="28"/>
          <w:rtl/>
        </w:rPr>
        <w:t>י</w:t>
      </w:r>
      <w:r w:rsidRPr="00677520">
        <w:rPr>
          <w:rFonts w:ascii="David" w:eastAsia="Times New Roman" w:hAnsi="David" w:cs="David" w:hint="cs"/>
          <w:sz w:val="28"/>
          <w:szCs w:val="28"/>
          <w:rtl/>
        </w:rPr>
        <w:t xml:space="preserve">עדר ידיעה שכזו אין כל משמעות לשאלה אם </w:t>
      </w:r>
      <w:r w:rsidRPr="00677520">
        <w:rPr>
          <w:rFonts w:ascii="David" w:eastAsia="Times New Roman" w:hAnsi="David" w:cs="David" w:hint="cs"/>
          <w:sz w:val="28"/>
          <w:szCs w:val="28"/>
          <w:rtl/>
        </w:rPr>
        <w:lastRenderedPageBreak/>
        <w:t xml:space="preserve">המערער 1 ידע מה זהותם של המלווים </w:t>
      </w:r>
      <w:proofErr w:type="spellStart"/>
      <w:r w:rsidRPr="00677520">
        <w:rPr>
          <w:rFonts w:ascii="David" w:eastAsia="Times New Roman" w:hAnsi="David" w:cs="David" w:hint="cs"/>
          <w:sz w:val="28"/>
          <w:szCs w:val="28"/>
          <w:rtl/>
        </w:rPr>
        <w:t>לפונטה</w:t>
      </w:r>
      <w:proofErr w:type="spellEnd"/>
      <w:r w:rsidRPr="00677520">
        <w:rPr>
          <w:rFonts w:ascii="David" w:eastAsia="Times New Roman" w:hAnsi="David" w:cs="David" w:hint="cs"/>
          <w:sz w:val="28"/>
          <w:szCs w:val="28"/>
          <w:rtl/>
        </w:rPr>
        <w:t xml:space="preserve"> ולמערער 2 ובלבד שהוא ידע היטב שאותם גורמים אינם יודעים שההלוואות הפרטיות שקבלו מהם </w:t>
      </w:r>
      <w:proofErr w:type="spellStart"/>
      <w:r w:rsidRPr="00677520">
        <w:rPr>
          <w:rFonts w:ascii="David" w:eastAsia="Times New Roman" w:hAnsi="David" w:cs="David" w:hint="cs"/>
          <w:sz w:val="28"/>
          <w:szCs w:val="28"/>
          <w:rtl/>
        </w:rPr>
        <w:t>פונטה</w:t>
      </w:r>
      <w:proofErr w:type="spellEnd"/>
      <w:r w:rsidRPr="00677520">
        <w:rPr>
          <w:rFonts w:ascii="David" w:eastAsia="Times New Roman" w:hAnsi="David" w:cs="David" w:hint="cs"/>
          <w:sz w:val="28"/>
          <w:szCs w:val="28"/>
          <w:rtl/>
        </w:rPr>
        <w:t xml:space="preserve"> ומערער 2, נועדו לסייע למערער 1.</w:t>
      </w:r>
      <w:r w:rsidRPr="00677520">
        <w:rPr>
          <w:rFonts w:ascii="David" w:eastAsia="Times New Roman" w:hAnsi="David" w:cs="David" w:hint="cs"/>
          <w:b/>
          <w:bCs/>
          <w:sz w:val="28"/>
          <w:szCs w:val="28"/>
          <w:rtl/>
        </w:rPr>
        <w:t xml:space="preserve"> </w:t>
      </w:r>
      <w:proofErr w:type="spellStart"/>
      <w:r w:rsidRPr="00677520">
        <w:rPr>
          <w:rFonts w:ascii="David" w:eastAsia="Times New Roman" w:hAnsi="David" w:cs="David" w:hint="cs"/>
          <w:b/>
          <w:bCs/>
          <w:sz w:val="28"/>
          <w:szCs w:val="28"/>
          <w:rtl/>
        </w:rPr>
        <w:t>מכח</w:t>
      </w:r>
      <w:proofErr w:type="spellEnd"/>
      <w:r w:rsidRPr="00677520">
        <w:rPr>
          <w:rFonts w:ascii="David" w:eastAsia="Times New Roman" w:hAnsi="David" w:cs="David" w:hint="cs"/>
          <w:b/>
          <w:bCs/>
          <w:sz w:val="28"/>
          <w:szCs w:val="28"/>
          <w:rtl/>
        </w:rPr>
        <w:t xml:space="preserve"> קל וחומר שהדברים נכונים כאשר מערער 1 לא ידע כלל את זהותם של המלווים </w:t>
      </w:r>
      <w:proofErr w:type="spellStart"/>
      <w:r w:rsidRPr="00677520">
        <w:rPr>
          <w:rFonts w:ascii="David" w:eastAsia="Times New Roman" w:hAnsi="David" w:cs="David" w:hint="cs"/>
          <w:b/>
          <w:bCs/>
          <w:sz w:val="28"/>
          <w:szCs w:val="28"/>
          <w:rtl/>
        </w:rPr>
        <w:t>לפונטה</w:t>
      </w:r>
      <w:proofErr w:type="spellEnd"/>
      <w:r w:rsidRPr="00677520">
        <w:rPr>
          <w:rFonts w:ascii="David" w:eastAsia="Times New Roman" w:hAnsi="David" w:cs="David" w:hint="cs"/>
          <w:b/>
          <w:bCs/>
          <w:sz w:val="28"/>
          <w:szCs w:val="28"/>
          <w:rtl/>
        </w:rPr>
        <w:t xml:space="preserve"> ולמערער 2.</w:t>
      </w:r>
      <w:r w:rsidR="00677520">
        <w:rPr>
          <w:rFonts w:ascii="David" w:eastAsia="Times New Roman" w:hAnsi="David" w:cs="David" w:hint="cs"/>
          <w:b/>
          <w:bCs/>
          <w:sz w:val="28"/>
          <w:szCs w:val="28"/>
          <w:rtl/>
        </w:rPr>
        <w:t xml:space="preserve"> </w:t>
      </w:r>
      <w:r w:rsidR="003656D0" w:rsidRPr="00677520">
        <w:rPr>
          <w:rFonts w:ascii="David" w:eastAsia="Times New Roman" w:hAnsi="David" w:cs="David" w:hint="cs"/>
          <w:sz w:val="28"/>
          <w:szCs w:val="28"/>
          <w:rtl/>
        </w:rPr>
        <w:t xml:space="preserve">הראיה להקפדה על המידור המתחייב מנסיבות העניין שמדרו </w:t>
      </w:r>
      <w:proofErr w:type="spellStart"/>
      <w:r w:rsidR="003656D0" w:rsidRPr="00677520">
        <w:rPr>
          <w:rFonts w:ascii="David" w:eastAsia="Times New Roman" w:hAnsi="David" w:cs="David" w:hint="cs"/>
          <w:sz w:val="28"/>
          <w:szCs w:val="28"/>
          <w:rtl/>
        </w:rPr>
        <w:t>פונטה</w:t>
      </w:r>
      <w:proofErr w:type="spellEnd"/>
      <w:r w:rsidR="003656D0" w:rsidRPr="00677520">
        <w:rPr>
          <w:rFonts w:ascii="David" w:eastAsia="Times New Roman" w:hAnsi="David" w:cs="David" w:hint="cs"/>
          <w:sz w:val="28"/>
          <w:szCs w:val="28"/>
          <w:rtl/>
        </w:rPr>
        <w:t xml:space="preserve"> ומערער 2 את ידיעת המלווים, הינן ההלוואות שקיבל מערער 2 מקרובי משפחתו אלי ודוד שמעוני ומידידו דרור </w:t>
      </w:r>
      <w:proofErr w:type="spellStart"/>
      <w:r w:rsidR="003656D0" w:rsidRPr="00B11D77">
        <w:rPr>
          <w:rFonts w:ascii="David" w:eastAsia="Times New Roman" w:hAnsi="David" w:cs="David" w:hint="cs"/>
          <w:sz w:val="28"/>
          <w:szCs w:val="28"/>
          <w:rtl/>
        </w:rPr>
        <w:t>אלמלם</w:t>
      </w:r>
      <w:proofErr w:type="spellEnd"/>
      <w:r w:rsidR="003656D0" w:rsidRPr="00B11D77">
        <w:rPr>
          <w:rFonts w:ascii="David" w:eastAsia="Times New Roman" w:hAnsi="David" w:cs="David" w:hint="cs"/>
          <w:sz w:val="28"/>
          <w:szCs w:val="28"/>
          <w:rtl/>
        </w:rPr>
        <w:t xml:space="preserve"> שאף אחד מהם לא ידע שההלוואות נועדו לסיוע שסייע מערער 2 למערער 1 וכולם סברו שההלוואות נועדו לצרכיו הפרטיים של מערער 2.</w:t>
      </w:r>
    </w:p>
    <w:p w14:paraId="0153BEB3" w14:textId="77777777" w:rsidR="00677520" w:rsidRDefault="00677520" w:rsidP="001B4728">
      <w:pPr>
        <w:pStyle w:val="a5"/>
        <w:shd w:val="clear" w:color="auto" w:fill="FFFFFF"/>
        <w:spacing w:after="0" w:line="360" w:lineRule="auto"/>
        <w:ind w:left="395"/>
        <w:jc w:val="both"/>
        <w:rPr>
          <w:rFonts w:ascii="David" w:eastAsia="Times New Roman" w:hAnsi="David" w:cs="David"/>
          <w:sz w:val="28"/>
          <w:szCs w:val="28"/>
          <w:rtl/>
        </w:rPr>
      </w:pPr>
    </w:p>
    <w:p w14:paraId="47B1B46E" w14:textId="27ED719F" w:rsidR="003656D0" w:rsidRDefault="003656D0" w:rsidP="003656D0">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בנוגע לגבולות הגזרה של עבירת הפרת האמונים, מוצא הח"מ להעיר את ההערות הבאות:</w:t>
      </w:r>
    </w:p>
    <w:p w14:paraId="74AB5673" w14:textId="77777777" w:rsidR="00677520" w:rsidRDefault="00677520" w:rsidP="00677520">
      <w:pPr>
        <w:pStyle w:val="a5"/>
        <w:shd w:val="clear" w:color="auto" w:fill="FFFFFF"/>
        <w:spacing w:after="0" w:line="360" w:lineRule="auto"/>
        <w:ind w:left="395"/>
        <w:jc w:val="both"/>
        <w:rPr>
          <w:rFonts w:ascii="David" w:eastAsia="Times New Roman" w:hAnsi="David" w:cs="David"/>
          <w:sz w:val="28"/>
          <w:szCs w:val="28"/>
        </w:rPr>
      </w:pPr>
    </w:p>
    <w:p w14:paraId="457FA8C3" w14:textId="6C20737E" w:rsidR="003656D0" w:rsidRDefault="003656D0" w:rsidP="003656D0">
      <w:pPr>
        <w:pStyle w:val="a5"/>
        <w:numPr>
          <w:ilvl w:val="0"/>
          <w:numId w:val="26"/>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הימצאות הניגוד </w:t>
      </w:r>
      <w:r w:rsidR="00E60770">
        <w:rPr>
          <w:rFonts w:ascii="David" w:eastAsia="Times New Roman" w:hAnsi="David" w:cs="David" w:hint="cs"/>
          <w:sz w:val="28"/>
          <w:szCs w:val="28"/>
          <w:rtl/>
        </w:rPr>
        <w:t>עניינים</w:t>
      </w:r>
      <w:r>
        <w:rPr>
          <w:rFonts w:ascii="David" w:eastAsia="Times New Roman" w:hAnsi="David" w:cs="David" w:hint="cs"/>
          <w:sz w:val="28"/>
          <w:szCs w:val="28"/>
          <w:rtl/>
        </w:rPr>
        <w:t xml:space="preserve"> כשלעצמה אינה גוררת ביצוע עבירה של הפרת אמונים. רק עובד ציבור (הפועל) בניגוד </w:t>
      </w:r>
      <w:r w:rsidR="00E60770">
        <w:rPr>
          <w:rFonts w:ascii="David" w:eastAsia="Times New Roman" w:hAnsi="David" w:cs="David" w:hint="cs"/>
          <w:sz w:val="28"/>
          <w:szCs w:val="28"/>
          <w:rtl/>
        </w:rPr>
        <w:t>עניינים</w:t>
      </w:r>
      <w:r>
        <w:rPr>
          <w:rFonts w:ascii="David" w:eastAsia="Times New Roman" w:hAnsi="David" w:cs="David" w:hint="cs"/>
          <w:sz w:val="28"/>
          <w:szCs w:val="28"/>
          <w:rtl/>
        </w:rPr>
        <w:t xml:space="preserve"> ופוגע פגיעה מהותית באימון הציבור במערכת השלטונית, עלול להיות מורשע בעבירה של הפרת אמונים.</w:t>
      </w:r>
    </w:p>
    <w:p w14:paraId="33FB9126" w14:textId="77777777" w:rsidR="00677520" w:rsidRDefault="00677520" w:rsidP="00677520">
      <w:pPr>
        <w:pStyle w:val="a5"/>
        <w:shd w:val="clear" w:color="auto" w:fill="FFFFFF"/>
        <w:spacing w:after="0" w:line="360" w:lineRule="auto"/>
        <w:ind w:left="755"/>
        <w:jc w:val="both"/>
        <w:rPr>
          <w:rFonts w:ascii="David" w:eastAsia="Times New Roman" w:hAnsi="David" w:cs="David"/>
          <w:sz w:val="28"/>
          <w:szCs w:val="28"/>
        </w:rPr>
      </w:pPr>
    </w:p>
    <w:p w14:paraId="0A1109BE" w14:textId="56E6E151" w:rsidR="00E60770" w:rsidRPr="00677520" w:rsidRDefault="003656D0" w:rsidP="00677520">
      <w:pPr>
        <w:pStyle w:val="a5"/>
        <w:numPr>
          <w:ilvl w:val="0"/>
          <w:numId w:val="26"/>
        </w:num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במקרה שלפנינו לא התקיים כל קשר בין תפקידו הצ</w:t>
      </w:r>
      <w:r w:rsidR="00B11D77">
        <w:rPr>
          <w:rFonts w:ascii="David" w:eastAsia="Times New Roman" w:hAnsi="David" w:cs="David" w:hint="cs"/>
          <w:sz w:val="28"/>
          <w:szCs w:val="28"/>
          <w:rtl/>
        </w:rPr>
        <w:t>י</w:t>
      </w:r>
      <w:r>
        <w:rPr>
          <w:rFonts w:ascii="David" w:eastAsia="Times New Roman" w:hAnsi="David" w:cs="David" w:hint="cs"/>
          <w:sz w:val="28"/>
          <w:szCs w:val="28"/>
          <w:rtl/>
        </w:rPr>
        <w:t xml:space="preserve">בורי של מערער 1 לבין בקשתו מאחיו המערער 2 ומידידו האישי </w:t>
      </w:r>
      <w:proofErr w:type="spellStart"/>
      <w:r>
        <w:rPr>
          <w:rFonts w:ascii="David" w:eastAsia="Times New Roman" w:hAnsi="David" w:cs="David" w:hint="cs"/>
          <w:sz w:val="28"/>
          <w:szCs w:val="28"/>
          <w:rtl/>
        </w:rPr>
        <w:t>פונטה</w:t>
      </w:r>
      <w:proofErr w:type="spellEnd"/>
      <w:r>
        <w:rPr>
          <w:rFonts w:ascii="David" w:eastAsia="Times New Roman" w:hAnsi="David" w:cs="David" w:hint="cs"/>
          <w:sz w:val="28"/>
          <w:szCs w:val="28"/>
          <w:rtl/>
        </w:rPr>
        <w:t xml:space="preserve"> שיעזרו לו לגייס כספים שהוא זקוק להם באופן אישי.</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כל עוד אף אדם לא מלווה אישית למערער 1 ואף לא יודע שהלווה את כספיו </w:t>
      </w:r>
      <w:r w:rsidR="00E60770" w:rsidRPr="00677520">
        <w:rPr>
          <w:rFonts w:ascii="David" w:eastAsia="Times New Roman" w:hAnsi="David" w:cs="David" w:hint="cs"/>
          <w:sz w:val="28"/>
          <w:szCs w:val="28"/>
          <w:rtl/>
        </w:rPr>
        <w:t>למערער 1- קשה לראות הכיצד עמד מערער 1 במצב של ניגוד עניינים לא כל שכן שהוא לא (פעל) במצב של ניגוד עניינים.</w:t>
      </w:r>
    </w:p>
    <w:p w14:paraId="2C53039A" w14:textId="5B2CBA86" w:rsidR="00E60770" w:rsidRPr="00677520" w:rsidRDefault="00E60770" w:rsidP="00677520">
      <w:pPr>
        <w:pStyle w:val="a5"/>
        <w:shd w:val="clear" w:color="auto" w:fill="FFFFFF"/>
        <w:spacing w:after="0" w:line="360" w:lineRule="auto"/>
        <w:ind w:left="755"/>
        <w:jc w:val="both"/>
        <w:rPr>
          <w:rFonts w:ascii="David" w:eastAsia="Times New Roman" w:hAnsi="David" w:cs="David"/>
          <w:sz w:val="28"/>
          <w:szCs w:val="28"/>
          <w:rtl/>
        </w:rPr>
      </w:pPr>
      <w:r>
        <w:rPr>
          <w:rFonts w:ascii="David" w:eastAsia="Times New Roman" w:hAnsi="David" w:cs="David" w:hint="cs"/>
          <w:sz w:val="28"/>
          <w:szCs w:val="28"/>
          <w:rtl/>
        </w:rPr>
        <w:t xml:space="preserve">לא כל התנהגות שראויה אולי "לעיקום אף" עולה בגדר התנהגות פלילית, וחשוב שלא לפרש את גבולותיה של עבירת הפרת האמונים פירוש מרחיב מדי שמא ימצא אדם את עצמו מבצע עבירה פלילית ,בדיעבד, בעקבות פרשנות מרחיבה של גבולות </w:t>
      </w:r>
      <w:proofErr w:type="spellStart"/>
      <w:r>
        <w:rPr>
          <w:rFonts w:ascii="David" w:eastAsia="Times New Roman" w:hAnsi="David" w:cs="David" w:hint="cs"/>
          <w:sz w:val="28"/>
          <w:szCs w:val="28"/>
          <w:rtl/>
        </w:rPr>
        <w:t>הגיזרה</w:t>
      </w:r>
      <w:proofErr w:type="spellEnd"/>
      <w:r>
        <w:rPr>
          <w:rFonts w:ascii="David" w:eastAsia="Times New Roman" w:hAnsi="David" w:cs="David" w:hint="cs"/>
          <w:sz w:val="28"/>
          <w:szCs w:val="28"/>
          <w:rtl/>
        </w:rPr>
        <w:t xml:space="preserve"> של עבירת הפרת אמונים, שכידוע גבולותיה אינם ברורים </w:t>
      </w:r>
      <w:proofErr w:type="spellStart"/>
      <w:r>
        <w:rPr>
          <w:rFonts w:ascii="David" w:eastAsia="Times New Roman" w:hAnsi="David" w:cs="David" w:hint="cs"/>
          <w:sz w:val="28"/>
          <w:szCs w:val="28"/>
          <w:rtl/>
        </w:rPr>
        <w:t>ומוגדרים.</w:t>
      </w:r>
      <w:r w:rsidRPr="00677520">
        <w:rPr>
          <w:rFonts w:ascii="David" w:eastAsia="Times New Roman" w:hAnsi="David" w:cs="David" w:hint="cs"/>
          <w:sz w:val="28"/>
          <w:szCs w:val="28"/>
          <w:rtl/>
        </w:rPr>
        <w:t>פרשנות</w:t>
      </w:r>
      <w:proofErr w:type="spellEnd"/>
      <w:r w:rsidRPr="00677520">
        <w:rPr>
          <w:rFonts w:ascii="David" w:eastAsia="Times New Roman" w:hAnsi="David" w:cs="David" w:hint="cs"/>
          <w:sz w:val="28"/>
          <w:szCs w:val="28"/>
          <w:rtl/>
        </w:rPr>
        <w:t xml:space="preserve"> מרחיבה שכזו עלולה לפגוע קשות בעקרון החוקיות שעומד ביסוד המשפט הפלילי.</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הדברים הללו טובים גם לט</w:t>
      </w:r>
      <w:r w:rsidR="00B11D77">
        <w:rPr>
          <w:rFonts w:ascii="David" w:eastAsia="Times New Roman" w:hAnsi="David" w:cs="David" w:hint="cs"/>
          <w:sz w:val="28"/>
          <w:szCs w:val="28"/>
          <w:rtl/>
        </w:rPr>
        <w:t>י</w:t>
      </w:r>
      <w:r w:rsidRPr="00677520">
        <w:rPr>
          <w:rFonts w:ascii="David" w:eastAsia="Times New Roman" w:hAnsi="David" w:cs="David" w:hint="cs"/>
          <w:sz w:val="28"/>
          <w:szCs w:val="28"/>
          <w:rtl/>
        </w:rPr>
        <w:t xml:space="preserve">עונים כנגד ההרשעה באישום הרביעי שם מוסכם כי המערער 1 לא ידע כלל את זהותם של המלווים </w:t>
      </w:r>
      <w:proofErr w:type="spellStart"/>
      <w:r w:rsidRPr="00677520">
        <w:rPr>
          <w:rFonts w:ascii="David" w:eastAsia="Times New Roman" w:hAnsi="David" w:cs="David" w:hint="cs"/>
          <w:sz w:val="28"/>
          <w:szCs w:val="28"/>
          <w:rtl/>
        </w:rPr>
        <w:t>לפונטה</w:t>
      </w:r>
      <w:proofErr w:type="spellEnd"/>
      <w:r w:rsidRPr="00677520">
        <w:rPr>
          <w:rFonts w:ascii="David" w:eastAsia="Times New Roman" w:hAnsi="David" w:cs="David" w:hint="cs"/>
          <w:sz w:val="28"/>
          <w:szCs w:val="28"/>
          <w:rtl/>
        </w:rPr>
        <w:t xml:space="preserve"> וביהמ"ש קמא לא שלל את </w:t>
      </w:r>
      <w:proofErr w:type="spellStart"/>
      <w:r w:rsidRPr="00677520">
        <w:rPr>
          <w:rFonts w:ascii="David" w:eastAsia="Times New Roman" w:hAnsi="David" w:cs="David" w:hint="cs"/>
          <w:sz w:val="28"/>
          <w:szCs w:val="28"/>
          <w:rtl/>
        </w:rPr>
        <w:t>גירסתם</w:t>
      </w:r>
      <w:proofErr w:type="spellEnd"/>
      <w:r w:rsidRPr="00677520">
        <w:rPr>
          <w:rFonts w:ascii="David" w:eastAsia="Times New Roman" w:hAnsi="David" w:cs="David" w:hint="cs"/>
          <w:sz w:val="28"/>
          <w:szCs w:val="28"/>
          <w:rtl/>
        </w:rPr>
        <w:t xml:space="preserve"> של מערער 1 </w:t>
      </w:r>
      <w:proofErr w:type="spellStart"/>
      <w:r w:rsidRPr="00677520">
        <w:rPr>
          <w:rFonts w:ascii="David" w:eastAsia="Times New Roman" w:hAnsi="David" w:cs="David" w:hint="cs"/>
          <w:sz w:val="28"/>
          <w:szCs w:val="28"/>
          <w:rtl/>
        </w:rPr>
        <w:t>ופונטה</w:t>
      </w:r>
      <w:proofErr w:type="spellEnd"/>
      <w:r w:rsidRPr="00677520">
        <w:rPr>
          <w:rFonts w:ascii="David" w:eastAsia="Times New Roman" w:hAnsi="David" w:cs="David" w:hint="cs"/>
          <w:sz w:val="28"/>
          <w:szCs w:val="28"/>
          <w:rtl/>
        </w:rPr>
        <w:t xml:space="preserve"> שלפיה מערער 1 ביקש במפגיע </w:t>
      </w:r>
      <w:proofErr w:type="spellStart"/>
      <w:r w:rsidRPr="00677520">
        <w:rPr>
          <w:rFonts w:ascii="David" w:eastAsia="Times New Roman" w:hAnsi="David" w:cs="David" w:hint="cs"/>
          <w:sz w:val="28"/>
          <w:szCs w:val="28"/>
          <w:rtl/>
        </w:rPr>
        <w:t>מפונטה</w:t>
      </w:r>
      <w:proofErr w:type="spellEnd"/>
      <w:r w:rsidRPr="00677520">
        <w:rPr>
          <w:rFonts w:ascii="David" w:eastAsia="Times New Roman" w:hAnsi="David" w:cs="David" w:hint="cs"/>
          <w:sz w:val="28"/>
          <w:szCs w:val="28"/>
          <w:rtl/>
        </w:rPr>
        <w:t xml:space="preserve"> שלא לבקש הלוואות, אפילו הוצגו ונתנו לצרכיו הפרטיים בלבד, מגורמים המצויים ביחסי עבודה עם עיריית אשקלון.</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נראה כי פרשנותו של ביהמ"ש קמא שלפיה אפילו בנסיבות הללו ביצע המערער 1 עבירה של הפרת אמונים מרחיבה יתר על המידה.</w:t>
      </w:r>
    </w:p>
    <w:p w14:paraId="61EBBBA9" w14:textId="2B8B32DD" w:rsidR="00311F37" w:rsidRDefault="00311F37" w:rsidP="003656D0">
      <w:pPr>
        <w:pStyle w:val="a5"/>
        <w:shd w:val="clear" w:color="auto" w:fill="FFFFFF"/>
        <w:spacing w:after="0" w:line="360" w:lineRule="auto"/>
        <w:ind w:left="755"/>
        <w:jc w:val="both"/>
        <w:rPr>
          <w:rFonts w:ascii="David" w:eastAsia="Times New Roman" w:hAnsi="David" w:cs="David"/>
          <w:sz w:val="28"/>
          <w:szCs w:val="28"/>
          <w:rtl/>
        </w:rPr>
      </w:pPr>
    </w:p>
    <w:p w14:paraId="162B146A" w14:textId="12F3E80A" w:rsidR="00311F37" w:rsidRDefault="00311F37" w:rsidP="00311F37">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lastRenderedPageBreak/>
        <w:t xml:space="preserve">כאמור לעיל זיכה </w:t>
      </w:r>
      <w:proofErr w:type="spellStart"/>
      <w:r>
        <w:rPr>
          <w:rFonts w:ascii="David" w:eastAsia="Times New Roman" w:hAnsi="David" w:cs="David" w:hint="cs"/>
          <w:sz w:val="28"/>
          <w:szCs w:val="28"/>
          <w:rtl/>
        </w:rPr>
        <w:t>ביה"מ</w:t>
      </w:r>
      <w:proofErr w:type="spellEnd"/>
      <w:r>
        <w:rPr>
          <w:rFonts w:ascii="David" w:eastAsia="Times New Roman" w:hAnsi="David" w:cs="David" w:hint="cs"/>
          <w:sz w:val="28"/>
          <w:szCs w:val="28"/>
          <w:rtl/>
        </w:rPr>
        <w:t xml:space="preserve"> קמא את המערער 1 מעבירה של לקיחת שוחד בהקשר של יחסי העבודה בין מערער 2 לדוידי, בכל הקשור לעסקאות האמת שבצעו השניים ואשר בעבורם שילם דוידי למערער 2 סך של 216,000 ₪ </w:t>
      </w:r>
    </w:p>
    <w:p w14:paraId="538B6CFD" w14:textId="62CF0D51" w:rsidR="00311F37" w:rsidRPr="00677520" w:rsidRDefault="00311F37" w:rsidP="00677520">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 xml:space="preserve">נחזור ונזכיר את העובדה שבכל אותן עסקאות היה זה מערער 2 שסיפק לדוידי לקוחות ופרויקטים ובכך היטיב הוא עם דוידי, ולא דוידי עימו. </w:t>
      </w:r>
      <w:r w:rsidRPr="00677520">
        <w:rPr>
          <w:rFonts w:ascii="David" w:eastAsia="Times New Roman" w:hAnsi="David" w:cs="David" w:hint="cs"/>
          <w:sz w:val="28"/>
          <w:szCs w:val="28"/>
          <w:rtl/>
        </w:rPr>
        <w:t xml:space="preserve">דא עקא, שתחת זיכויו מעבירת לקיחת השוחד הרשיע </w:t>
      </w:r>
      <w:proofErr w:type="spellStart"/>
      <w:r w:rsidRPr="00677520">
        <w:rPr>
          <w:rFonts w:ascii="David" w:eastAsia="Times New Roman" w:hAnsi="David" w:cs="David" w:hint="cs"/>
          <w:sz w:val="28"/>
          <w:szCs w:val="28"/>
          <w:rtl/>
        </w:rPr>
        <w:t>ביה"מ</w:t>
      </w:r>
      <w:proofErr w:type="spellEnd"/>
      <w:r w:rsidRPr="00677520">
        <w:rPr>
          <w:rFonts w:ascii="David" w:eastAsia="Times New Roman" w:hAnsi="David" w:cs="David" w:hint="cs"/>
          <w:sz w:val="28"/>
          <w:szCs w:val="28"/>
          <w:rtl/>
        </w:rPr>
        <w:t xml:space="preserve"> קמא את המערער 1 בעבירה של הפרת אמונים.</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המערער</w:t>
      </w:r>
      <w:r w:rsidR="00677520">
        <w:rPr>
          <w:rFonts w:ascii="David" w:eastAsia="Times New Roman" w:hAnsi="David" w:cs="David" w:hint="cs"/>
          <w:sz w:val="28"/>
          <w:szCs w:val="28"/>
          <w:rtl/>
        </w:rPr>
        <w:t xml:space="preserve"> 1</w:t>
      </w:r>
      <w:r w:rsidRPr="00677520">
        <w:rPr>
          <w:rFonts w:ascii="David" w:eastAsia="Times New Roman" w:hAnsi="David" w:cs="David" w:hint="cs"/>
          <w:sz w:val="28"/>
          <w:szCs w:val="28"/>
          <w:rtl/>
        </w:rPr>
        <w:t xml:space="preserve"> חולק על קונסטרוקציית ההרשעה הזו משתי בחינות:- </w:t>
      </w:r>
    </w:p>
    <w:p w14:paraId="6B3E21CD" w14:textId="77777777" w:rsidR="00677520" w:rsidRPr="00677520" w:rsidRDefault="00677520" w:rsidP="00677520">
      <w:pPr>
        <w:shd w:val="clear" w:color="auto" w:fill="FFFFFF"/>
        <w:spacing w:after="0" w:line="360" w:lineRule="auto"/>
        <w:jc w:val="both"/>
        <w:rPr>
          <w:rFonts w:ascii="David" w:eastAsia="Times New Roman" w:hAnsi="David" w:cs="David"/>
          <w:sz w:val="28"/>
          <w:szCs w:val="28"/>
          <w:rtl/>
        </w:rPr>
      </w:pPr>
    </w:p>
    <w:p w14:paraId="7F672C75" w14:textId="09180A3D" w:rsidR="00311F37" w:rsidRDefault="00311F37" w:rsidP="00311F37">
      <w:pPr>
        <w:pStyle w:val="a5"/>
        <w:numPr>
          <w:ilvl w:val="0"/>
          <w:numId w:val="27"/>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המערער 1 לא עבר כל עבירה כתוצאה מכך שמערער 2 עשה עסקאות כדת וכדין עם דוידי.</w:t>
      </w:r>
    </w:p>
    <w:p w14:paraId="7A4D7044" w14:textId="77777777" w:rsidR="00677520" w:rsidRDefault="00677520" w:rsidP="00677520">
      <w:pPr>
        <w:pStyle w:val="a5"/>
        <w:shd w:val="clear" w:color="auto" w:fill="FFFFFF"/>
        <w:spacing w:after="0" w:line="360" w:lineRule="auto"/>
        <w:ind w:left="755"/>
        <w:jc w:val="both"/>
        <w:rPr>
          <w:rFonts w:ascii="David" w:eastAsia="Times New Roman" w:hAnsi="David" w:cs="David"/>
          <w:sz w:val="28"/>
          <w:szCs w:val="28"/>
        </w:rPr>
      </w:pPr>
    </w:p>
    <w:p w14:paraId="2CEFACD3" w14:textId="735AC474" w:rsidR="00311F37" w:rsidRPr="00677520" w:rsidRDefault="00311F37" w:rsidP="00677520">
      <w:pPr>
        <w:pStyle w:val="a5"/>
        <w:numPr>
          <w:ilvl w:val="0"/>
          <w:numId w:val="27"/>
        </w:numPr>
        <w:shd w:val="clear" w:color="auto" w:fill="FFFFFF"/>
        <w:spacing w:after="0" w:line="360" w:lineRule="auto"/>
        <w:jc w:val="both"/>
        <w:rPr>
          <w:rFonts w:ascii="David" w:eastAsia="Times New Roman" w:hAnsi="David" w:cs="David"/>
          <w:sz w:val="28"/>
          <w:szCs w:val="28"/>
          <w:rtl/>
        </w:rPr>
      </w:pPr>
      <w:proofErr w:type="spellStart"/>
      <w:r>
        <w:rPr>
          <w:rFonts w:ascii="David" w:eastAsia="Times New Roman" w:hAnsi="David" w:cs="David" w:hint="cs"/>
          <w:sz w:val="28"/>
          <w:szCs w:val="28"/>
          <w:rtl/>
        </w:rPr>
        <w:t>ביה"מ</w:t>
      </w:r>
      <w:proofErr w:type="spellEnd"/>
      <w:r>
        <w:rPr>
          <w:rFonts w:ascii="David" w:eastAsia="Times New Roman" w:hAnsi="David" w:cs="David" w:hint="cs"/>
          <w:sz w:val="28"/>
          <w:szCs w:val="28"/>
          <w:rtl/>
        </w:rPr>
        <w:t xml:space="preserve"> קמא הרשיע את המערער 1 בעבירה שלא נטענה נגדו בכתב האישום וזאת מכוח סעיף 184 </w:t>
      </w:r>
      <w:proofErr w:type="spellStart"/>
      <w:r>
        <w:rPr>
          <w:rFonts w:ascii="David" w:eastAsia="Times New Roman" w:hAnsi="David" w:cs="David" w:hint="cs"/>
          <w:sz w:val="28"/>
          <w:szCs w:val="28"/>
          <w:rtl/>
        </w:rPr>
        <w:t>לחסד"פ</w:t>
      </w:r>
      <w:proofErr w:type="spellEnd"/>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אולם, ספק גדול אם ניתנה למערער 1 אפשרות סבירה להתגונן מפני העבירה של הפרת אמונים שהרי הגנה מפניה חייבה הערכות שונה לגמרי מזו שחייבה הגנה מפני עבירת השוחד שנטענה בכתב האישום.</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המערער 1 לא לקח כלל בחשבון אפשרות שיצטרך להתגונן מפני עבירת הפרת האמונים באישום 1 והרשעתו באישום זה הפתיעה אותו משום שהוא לא נערך לקראתה.</w:t>
      </w:r>
    </w:p>
    <w:p w14:paraId="2522728A" w14:textId="77777777" w:rsidR="00677520" w:rsidRPr="00677520" w:rsidRDefault="00677520" w:rsidP="00677520">
      <w:pPr>
        <w:shd w:val="clear" w:color="auto" w:fill="FFFFFF"/>
        <w:spacing w:after="0" w:line="360" w:lineRule="auto"/>
        <w:jc w:val="both"/>
        <w:rPr>
          <w:rFonts w:ascii="David" w:eastAsia="Times New Roman" w:hAnsi="David" w:cs="David"/>
          <w:sz w:val="28"/>
          <w:szCs w:val="28"/>
          <w:rtl/>
        </w:rPr>
      </w:pPr>
    </w:p>
    <w:p w14:paraId="4D9EA163" w14:textId="2577B1B2" w:rsidR="00311F37" w:rsidRPr="00677520" w:rsidRDefault="00311F37" w:rsidP="00677520">
      <w:pPr>
        <w:pStyle w:val="a5"/>
        <w:numPr>
          <w:ilvl w:val="0"/>
          <w:numId w:val="18"/>
        </w:num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באישום השני הורשע המערער 1 בעבירה של הפרת אמונים בנוגע לסכום של 100,000 ₪, שע"פ קביעת </w:t>
      </w:r>
      <w:proofErr w:type="spellStart"/>
      <w:r>
        <w:rPr>
          <w:rFonts w:ascii="David" w:eastAsia="Times New Roman" w:hAnsi="David" w:cs="David" w:hint="cs"/>
          <w:sz w:val="28"/>
          <w:szCs w:val="28"/>
          <w:rtl/>
        </w:rPr>
        <w:t>ביה"מ</w:t>
      </w:r>
      <w:proofErr w:type="spellEnd"/>
      <w:r>
        <w:rPr>
          <w:rFonts w:ascii="David" w:eastAsia="Times New Roman" w:hAnsi="David" w:cs="David" w:hint="cs"/>
          <w:sz w:val="28"/>
          <w:szCs w:val="28"/>
          <w:rtl/>
        </w:rPr>
        <w:t xml:space="preserve"> קמא העביר הקבלן גבי מגנזי </w:t>
      </w:r>
      <w:proofErr w:type="spellStart"/>
      <w:r>
        <w:rPr>
          <w:rFonts w:ascii="David" w:eastAsia="Times New Roman" w:hAnsi="David" w:cs="David" w:hint="cs"/>
          <w:sz w:val="28"/>
          <w:szCs w:val="28"/>
          <w:rtl/>
        </w:rPr>
        <w:t>לפונטה</w:t>
      </w:r>
      <w:proofErr w:type="spellEnd"/>
      <w:r>
        <w:rPr>
          <w:rFonts w:ascii="David" w:eastAsia="Times New Roman" w:hAnsi="David" w:cs="David" w:hint="cs"/>
          <w:sz w:val="28"/>
          <w:szCs w:val="28"/>
          <w:rtl/>
        </w:rPr>
        <w:t>.</w:t>
      </w:r>
      <w:r w:rsidR="00677520">
        <w:rPr>
          <w:rFonts w:ascii="David" w:eastAsia="Times New Roman" w:hAnsi="David" w:cs="David" w:hint="cs"/>
          <w:sz w:val="28"/>
          <w:szCs w:val="28"/>
          <w:rtl/>
        </w:rPr>
        <w:t xml:space="preserve"> </w:t>
      </w:r>
      <w:proofErr w:type="spellStart"/>
      <w:r w:rsidRPr="00677520">
        <w:rPr>
          <w:rFonts w:ascii="David" w:eastAsia="Times New Roman" w:hAnsi="David" w:cs="David" w:hint="cs"/>
          <w:sz w:val="28"/>
          <w:szCs w:val="28"/>
          <w:rtl/>
        </w:rPr>
        <w:t>ביה"מ</w:t>
      </w:r>
      <w:proofErr w:type="spellEnd"/>
      <w:r w:rsidRPr="00677520">
        <w:rPr>
          <w:rFonts w:ascii="David" w:eastAsia="Times New Roman" w:hAnsi="David" w:cs="David" w:hint="cs"/>
          <w:sz w:val="28"/>
          <w:szCs w:val="28"/>
          <w:rtl/>
        </w:rPr>
        <w:t xml:space="preserve"> קמא קבע שגבי מגנזי ידע שההעברה </w:t>
      </w:r>
      <w:proofErr w:type="spellStart"/>
      <w:r w:rsidRPr="00677520">
        <w:rPr>
          <w:rFonts w:ascii="David" w:eastAsia="Times New Roman" w:hAnsi="David" w:cs="David" w:hint="cs"/>
          <w:sz w:val="28"/>
          <w:szCs w:val="28"/>
          <w:rtl/>
        </w:rPr>
        <w:t>לפונטה</w:t>
      </w:r>
      <w:proofErr w:type="spellEnd"/>
      <w:r w:rsidRPr="00677520">
        <w:rPr>
          <w:rFonts w:ascii="David" w:eastAsia="Times New Roman" w:hAnsi="David" w:cs="David" w:hint="cs"/>
          <w:sz w:val="28"/>
          <w:szCs w:val="28"/>
          <w:rtl/>
        </w:rPr>
        <w:t xml:space="preserve"> נועדה לצרכיו של מערער 1 וכן קבע שמערער 1 ידע </w:t>
      </w:r>
      <w:proofErr w:type="spellStart"/>
      <w:r w:rsidRPr="00677520">
        <w:rPr>
          <w:rFonts w:ascii="David" w:eastAsia="Times New Roman" w:hAnsi="David" w:cs="David" w:hint="cs"/>
          <w:sz w:val="28"/>
          <w:szCs w:val="28"/>
          <w:rtl/>
        </w:rPr>
        <w:t>שפונטה</w:t>
      </w:r>
      <w:proofErr w:type="spellEnd"/>
      <w:r w:rsidRPr="00677520">
        <w:rPr>
          <w:rFonts w:ascii="David" w:eastAsia="Times New Roman" w:hAnsi="David" w:cs="David" w:hint="cs"/>
          <w:sz w:val="28"/>
          <w:szCs w:val="28"/>
          <w:rtl/>
        </w:rPr>
        <w:t xml:space="preserve"> קיבל סך של 100,000 ₪ מגבי מגנזי.</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כמו כן קבע </w:t>
      </w:r>
      <w:proofErr w:type="spellStart"/>
      <w:r w:rsidRPr="00677520">
        <w:rPr>
          <w:rFonts w:ascii="David" w:eastAsia="Times New Roman" w:hAnsi="David" w:cs="David" w:hint="cs"/>
          <w:sz w:val="28"/>
          <w:szCs w:val="28"/>
          <w:rtl/>
        </w:rPr>
        <w:t>ביה"מ</w:t>
      </w:r>
      <w:proofErr w:type="spellEnd"/>
      <w:r w:rsidRPr="00677520">
        <w:rPr>
          <w:rFonts w:ascii="David" w:eastAsia="Times New Roman" w:hAnsi="David" w:cs="David" w:hint="cs"/>
          <w:sz w:val="28"/>
          <w:szCs w:val="28"/>
          <w:rtl/>
        </w:rPr>
        <w:t xml:space="preserve"> קמא כי </w:t>
      </w:r>
      <w:proofErr w:type="spellStart"/>
      <w:r w:rsidRPr="00677520">
        <w:rPr>
          <w:rFonts w:ascii="David" w:eastAsia="Times New Roman" w:hAnsi="David" w:cs="David" w:hint="cs"/>
          <w:sz w:val="28"/>
          <w:szCs w:val="28"/>
          <w:rtl/>
        </w:rPr>
        <w:t>פונטה</w:t>
      </w:r>
      <w:proofErr w:type="spellEnd"/>
      <w:r w:rsidRPr="00677520">
        <w:rPr>
          <w:rFonts w:ascii="David" w:eastAsia="Times New Roman" w:hAnsi="David" w:cs="David" w:hint="cs"/>
          <w:sz w:val="28"/>
          <w:szCs w:val="28"/>
          <w:rtl/>
        </w:rPr>
        <w:t xml:space="preserve"> עשה שימוש בכספים שקיבל </w:t>
      </w:r>
      <w:proofErr w:type="spellStart"/>
      <w:r w:rsidRPr="00677520">
        <w:rPr>
          <w:rFonts w:ascii="David" w:eastAsia="Times New Roman" w:hAnsi="David" w:cs="David" w:hint="cs"/>
          <w:sz w:val="28"/>
          <w:szCs w:val="28"/>
          <w:rtl/>
        </w:rPr>
        <w:t>ממגנזי</w:t>
      </w:r>
      <w:proofErr w:type="spellEnd"/>
      <w:r w:rsidRPr="00677520">
        <w:rPr>
          <w:rFonts w:ascii="David" w:eastAsia="Times New Roman" w:hAnsi="David" w:cs="David" w:hint="cs"/>
          <w:sz w:val="28"/>
          <w:szCs w:val="28"/>
          <w:rtl/>
        </w:rPr>
        <w:t xml:space="preserve"> לצורך תשלום עבור הסכמי הפיצוי של המערער 1.</w:t>
      </w:r>
      <w:r w:rsidR="00677520">
        <w:rPr>
          <w:rFonts w:ascii="David" w:eastAsia="Times New Roman" w:hAnsi="David" w:cs="David" w:hint="cs"/>
          <w:sz w:val="28"/>
          <w:szCs w:val="28"/>
          <w:rtl/>
        </w:rPr>
        <w:t xml:space="preserve"> </w:t>
      </w:r>
      <w:r w:rsidRPr="00677520">
        <w:rPr>
          <w:rFonts w:ascii="David" w:eastAsia="Times New Roman" w:hAnsi="David" w:cs="David" w:hint="cs"/>
          <w:b/>
          <w:bCs/>
          <w:sz w:val="28"/>
          <w:szCs w:val="28"/>
          <w:rtl/>
        </w:rPr>
        <w:t xml:space="preserve">בשלוש הקביעות הללו שגה </w:t>
      </w:r>
      <w:proofErr w:type="spellStart"/>
      <w:r w:rsidRPr="00677520">
        <w:rPr>
          <w:rFonts w:ascii="David" w:eastAsia="Times New Roman" w:hAnsi="David" w:cs="David" w:hint="cs"/>
          <w:b/>
          <w:bCs/>
          <w:sz w:val="28"/>
          <w:szCs w:val="28"/>
          <w:rtl/>
        </w:rPr>
        <w:t>ביה"מ</w:t>
      </w:r>
      <w:proofErr w:type="spellEnd"/>
      <w:r w:rsidRPr="00677520">
        <w:rPr>
          <w:rFonts w:ascii="David" w:eastAsia="Times New Roman" w:hAnsi="David" w:cs="David" w:hint="cs"/>
          <w:b/>
          <w:bCs/>
          <w:sz w:val="28"/>
          <w:szCs w:val="28"/>
          <w:rtl/>
        </w:rPr>
        <w:t xml:space="preserve"> קמא.</w:t>
      </w:r>
    </w:p>
    <w:p w14:paraId="661C28CD" w14:textId="77777777" w:rsidR="00677520" w:rsidRDefault="00677520" w:rsidP="00311F37">
      <w:pPr>
        <w:pStyle w:val="a5"/>
        <w:shd w:val="clear" w:color="auto" w:fill="FFFFFF"/>
        <w:spacing w:after="0" w:line="360" w:lineRule="auto"/>
        <w:ind w:left="395"/>
        <w:jc w:val="both"/>
        <w:rPr>
          <w:rFonts w:ascii="David" w:eastAsia="Times New Roman" w:hAnsi="David" w:cs="David"/>
          <w:b/>
          <w:bCs/>
          <w:sz w:val="28"/>
          <w:szCs w:val="28"/>
          <w:rtl/>
        </w:rPr>
      </w:pPr>
    </w:p>
    <w:p w14:paraId="0F356D03" w14:textId="2D370BCF" w:rsidR="00311F37" w:rsidRDefault="00311F37" w:rsidP="00311F37">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גבי מגנזי לא נקרא להעיד במשפט כלל. לפיכך נראה בבירור שקביעתו של </w:t>
      </w:r>
      <w:proofErr w:type="spellStart"/>
      <w:r>
        <w:rPr>
          <w:rFonts w:ascii="David" w:eastAsia="Times New Roman" w:hAnsi="David" w:cs="David" w:hint="cs"/>
          <w:sz w:val="28"/>
          <w:szCs w:val="28"/>
          <w:rtl/>
        </w:rPr>
        <w:t>ביה"מ</w:t>
      </w:r>
      <w:proofErr w:type="spellEnd"/>
      <w:r>
        <w:rPr>
          <w:rFonts w:ascii="David" w:eastAsia="Times New Roman" w:hAnsi="David" w:cs="David" w:hint="cs"/>
          <w:sz w:val="28"/>
          <w:szCs w:val="28"/>
          <w:rtl/>
        </w:rPr>
        <w:t xml:space="preserve"> קמא כאילו גבי מגנזי ידע שההעברה הכספית שהעביר </w:t>
      </w:r>
      <w:proofErr w:type="spellStart"/>
      <w:r>
        <w:rPr>
          <w:rFonts w:ascii="David" w:eastAsia="Times New Roman" w:hAnsi="David" w:cs="David" w:hint="cs"/>
          <w:sz w:val="28"/>
          <w:szCs w:val="28"/>
          <w:rtl/>
        </w:rPr>
        <w:t>לפונטה</w:t>
      </w:r>
      <w:proofErr w:type="spellEnd"/>
      <w:r>
        <w:rPr>
          <w:rFonts w:ascii="David" w:eastAsia="Times New Roman" w:hAnsi="David" w:cs="David" w:hint="cs"/>
          <w:sz w:val="28"/>
          <w:szCs w:val="28"/>
          <w:rtl/>
        </w:rPr>
        <w:t xml:space="preserve"> נועדה לצרכיו של המערער 1, הינה קביעה מרחיקת לכת בעלמא שאינה מבוססת על אף ראיה</w:t>
      </w:r>
      <w:r w:rsidR="00DE0F58">
        <w:rPr>
          <w:rFonts w:ascii="David" w:eastAsia="Times New Roman" w:hAnsi="David" w:cs="David" w:hint="cs"/>
          <w:sz w:val="28"/>
          <w:szCs w:val="28"/>
          <w:rtl/>
        </w:rPr>
        <w:t>.</w:t>
      </w:r>
    </w:p>
    <w:p w14:paraId="33CCC2EA" w14:textId="61561D15" w:rsidR="00DE0F58" w:rsidRDefault="00DE0F58" w:rsidP="00DE0F58">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 xml:space="preserve">זאת ועוד, בפני </w:t>
      </w:r>
      <w:proofErr w:type="spellStart"/>
      <w:r>
        <w:rPr>
          <w:rFonts w:ascii="David" w:eastAsia="Times New Roman" w:hAnsi="David" w:cs="David" w:hint="cs"/>
          <w:sz w:val="28"/>
          <w:szCs w:val="28"/>
          <w:rtl/>
        </w:rPr>
        <w:t>ביה"מ</w:t>
      </w:r>
      <w:proofErr w:type="spellEnd"/>
      <w:r>
        <w:rPr>
          <w:rFonts w:ascii="David" w:eastAsia="Times New Roman" w:hAnsi="David" w:cs="David" w:hint="cs"/>
          <w:sz w:val="28"/>
          <w:szCs w:val="28"/>
          <w:rtl/>
        </w:rPr>
        <w:t xml:space="preserve"> קמא באו ראיות שלפיהן התקיימו יחסי חברות ויחסים עסקיים בין גבי מגנזי </w:t>
      </w:r>
      <w:proofErr w:type="spellStart"/>
      <w:r>
        <w:rPr>
          <w:rFonts w:ascii="David" w:eastAsia="Times New Roman" w:hAnsi="David" w:cs="David" w:hint="cs"/>
          <w:sz w:val="28"/>
          <w:szCs w:val="28"/>
          <w:rtl/>
        </w:rPr>
        <w:t>לפונטה</w:t>
      </w:r>
      <w:proofErr w:type="spellEnd"/>
      <w:r>
        <w:rPr>
          <w:rFonts w:ascii="David" w:eastAsia="Times New Roman" w:hAnsi="David" w:cs="David" w:hint="cs"/>
          <w:sz w:val="28"/>
          <w:szCs w:val="28"/>
          <w:rtl/>
        </w:rPr>
        <w:t xml:space="preserve">. לפיכך סבירות גבוהה יש דווקא לכך שההעברה הכספית שהעביר מגנזי </w:t>
      </w:r>
      <w:proofErr w:type="spellStart"/>
      <w:r>
        <w:rPr>
          <w:rFonts w:ascii="David" w:eastAsia="Times New Roman" w:hAnsi="David" w:cs="David" w:hint="cs"/>
          <w:sz w:val="28"/>
          <w:szCs w:val="28"/>
          <w:rtl/>
        </w:rPr>
        <w:t>לפונטה</w:t>
      </w:r>
      <w:proofErr w:type="spellEnd"/>
      <w:r>
        <w:rPr>
          <w:rFonts w:ascii="David" w:eastAsia="Times New Roman" w:hAnsi="David" w:cs="David" w:hint="cs"/>
          <w:sz w:val="28"/>
          <w:szCs w:val="28"/>
          <w:rtl/>
        </w:rPr>
        <w:t xml:space="preserve"> נועדה מבחינתו </w:t>
      </w:r>
      <w:proofErr w:type="spellStart"/>
      <w:r>
        <w:rPr>
          <w:rFonts w:ascii="David" w:eastAsia="Times New Roman" w:hAnsi="David" w:cs="David" w:hint="cs"/>
          <w:sz w:val="28"/>
          <w:szCs w:val="28"/>
          <w:rtl/>
        </w:rPr>
        <w:t>לפונטה</w:t>
      </w:r>
      <w:proofErr w:type="spellEnd"/>
      <w:r>
        <w:rPr>
          <w:rFonts w:ascii="David" w:eastAsia="Times New Roman" w:hAnsi="David" w:cs="David" w:hint="cs"/>
          <w:sz w:val="28"/>
          <w:szCs w:val="28"/>
          <w:rtl/>
        </w:rPr>
        <w:t xml:space="preserve"> בלבד.</w:t>
      </w:r>
    </w:p>
    <w:p w14:paraId="3FA69BF3" w14:textId="77777777" w:rsidR="00677520" w:rsidRDefault="00677520" w:rsidP="00DE0F58">
      <w:pPr>
        <w:pStyle w:val="a5"/>
        <w:shd w:val="clear" w:color="auto" w:fill="FFFFFF"/>
        <w:spacing w:after="0" w:line="360" w:lineRule="auto"/>
        <w:ind w:left="395"/>
        <w:jc w:val="both"/>
        <w:rPr>
          <w:rFonts w:ascii="David" w:eastAsia="Times New Roman" w:hAnsi="David" w:cs="David"/>
          <w:sz w:val="28"/>
          <w:szCs w:val="28"/>
          <w:rtl/>
        </w:rPr>
      </w:pPr>
    </w:p>
    <w:p w14:paraId="0E4979E4" w14:textId="38D27748" w:rsidR="00DE0F58" w:rsidRPr="00677520" w:rsidRDefault="00DE0F58" w:rsidP="00677520">
      <w:pPr>
        <w:pStyle w:val="a5"/>
        <w:numPr>
          <w:ilvl w:val="0"/>
          <w:numId w:val="18"/>
        </w:num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lastRenderedPageBreak/>
        <w:t xml:space="preserve">גם בנוגע לקביעה שהמערער 1 ידע שמגנזי הלווה כספים </w:t>
      </w:r>
      <w:proofErr w:type="spellStart"/>
      <w:r>
        <w:rPr>
          <w:rFonts w:ascii="David" w:eastAsia="Times New Roman" w:hAnsi="David" w:cs="David" w:hint="cs"/>
          <w:sz w:val="28"/>
          <w:szCs w:val="28"/>
          <w:rtl/>
        </w:rPr>
        <w:t>לפונטה</w:t>
      </w:r>
      <w:proofErr w:type="spellEnd"/>
      <w:r>
        <w:rPr>
          <w:rFonts w:ascii="David" w:eastAsia="Times New Roman" w:hAnsi="David" w:cs="David" w:hint="cs"/>
          <w:sz w:val="28"/>
          <w:szCs w:val="28"/>
          <w:rtl/>
        </w:rPr>
        <w:t xml:space="preserve">, שגה </w:t>
      </w:r>
      <w:proofErr w:type="spellStart"/>
      <w:r>
        <w:rPr>
          <w:rFonts w:ascii="David" w:eastAsia="Times New Roman" w:hAnsi="David" w:cs="David" w:hint="cs"/>
          <w:sz w:val="28"/>
          <w:szCs w:val="28"/>
          <w:rtl/>
        </w:rPr>
        <w:t>ביה"מ</w:t>
      </w:r>
      <w:proofErr w:type="spellEnd"/>
      <w:r>
        <w:rPr>
          <w:rFonts w:ascii="David" w:eastAsia="Times New Roman" w:hAnsi="David" w:cs="David" w:hint="cs"/>
          <w:sz w:val="28"/>
          <w:szCs w:val="28"/>
          <w:rtl/>
        </w:rPr>
        <w:t xml:space="preserve"> קמא. </w:t>
      </w:r>
      <w:r w:rsidRPr="00677520">
        <w:rPr>
          <w:rFonts w:ascii="David" w:eastAsia="Times New Roman" w:hAnsi="David" w:cs="David" w:hint="cs"/>
          <w:sz w:val="28"/>
          <w:szCs w:val="28"/>
          <w:rtl/>
        </w:rPr>
        <w:t xml:space="preserve">בסעיף 475 להכרעת הדין קבע </w:t>
      </w:r>
      <w:proofErr w:type="spellStart"/>
      <w:r w:rsidRPr="00677520">
        <w:rPr>
          <w:rFonts w:ascii="David" w:eastAsia="Times New Roman" w:hAnsi="David" w:cs="David" w:hint="cs"/>
          <w:sz w:val="28"/>
          <w:szCs w:val="28"/>
          <w:rtl/>
        </w:rPr>
        <w:t>ביה"מ</w:t>
      </w:r>
      <w:proofErr w:type="spellEnd"/>
      <w:r w:rsidRPr="00677520">
        <w:rPr>
          <w:rFonts w:ascii="David" w:eastAsia="Times New Roman" w:hAnsi="David" w:cs="David" w:hint="cs"/>
          <w:sz w:val="28"/>
          <w:szCs w:val="28"/>
          <w:rtl/>
        </w:rPr>
        <w:t xml:space="preserve"> כי שני עדים העידו שהמערער 1 עיין בפתק ת' 39 בשני צדדיו, כך שעיין ברישום בגב הפתק: "גבי מ 100 ג (או) מ".</w:t>
      </w:r>
    </w:p>
    <w:p w14:paraId="3EEB969E" w14:textId="7A145CB7" w:rsidR="00DE0F58" w:rsidRPr="00677520" w:rsidRDefault="00DE0F58" w:rsidP="00677520">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 xml:space="preserve">ראשית, אפילו אם היה המערער 1 מעיין ברישום הנ"ל הוא לא יכול היה לדעת מתוכו שגבי מגנזי העביר </w:t>
      </w:r>
      <w:proofErr w:type="spellStart"/>
      <w:r>
        <w:rPr>
          <w:rFonts w:ascii="David" w:eastAsia="Times New Roman" w:hAnsi="David" w:cs="David" w:hint="cs"/>
          <w:sz w:val="28"/>
          <w:szCs w:val="28"/>
          <w:rtl/>
        </w:rPr>
        <w:t>לפונטה</w:t>
      </w:r>
      <w:proofErr w:type="spellEnd"/>
      <w:r>
        <w:rPr>
          <w:rFonts w:ascii="David" w:eastAsia="Times New Roman" w:hAnsi="David" w:cs="David" w:hint="cs"/>
          <w:sz w:val="28"/>
          <w:szCs w:val="28"/>
          <w:rtl/>
        </w:rPr>
        <w:t xml:space="preserve"> סך של 100,000 ₪.</w:t>
      </w:r>
      <w:r w:rsidRPr="00677520">
        <w:rPr>
          <w:rFonts w:ascii="David" w:eastAsia="Times New Roman" w:hAnsi="David" w:cs="David" w:hint="cs"/>
          <w:sz w:val="28"/>
          <w:szCs w:val="28"/>
          <w:rtl/>
        </w:rPr>
        <w:t xml:space="preserve">שנית, </w:t>
      </w:r>
      <w:proofErr w:type="spellStart"/>
      <w:r w:rsidRPr="00677520">
        <w:rPr>
          <w:rFonts w:ascii="David" w:eastAsia="Times New Roman" w:hAnsi="David" w:cs="David" w:hint="cs"/>
          <w:sz w:val="28"/>
          <w:szCs w:val="28"/>
          <w:rtl/>
        </w:rPr>
        <w:t>ביה"מ</w:t>
      </w:r>
      <w:proofErr w:type="spellEnd"/>
      <w:r w:rsidRPr="00677520">
        <w:rPr>
          <w:rFonts w:ascii="David" w:eastAsia="Times New Roman" w:hAnsi="David" w:cs="David" w:hint="cs"/>
          <w:sz w:val="28"/>
          <w:szCs w:val="28"/>
          <w:rtl/>
        </w:rPr>
        <w:t xml:space="preserve"> קבע כי העוקבת טענה במסגרת ריענון זיכרונה שהמערער 1 עיין בפתק בשני צדדיו. </w:t>
      </w:r>
      <w:r w:rsidRPr="00677520">
        <w:rPr>
          <w:rFonts w:ascii="David" w:eastAsia="Times New Roman" w:hAnsi="David" w:cs="David" w:hint="cs"/>
          <w:b/>
          <w:bCs/>
          <w:sz w:val="28"/>
          <w:szCs w:val="28"/>
          <w:rtl/>
        </w:rPr>
        <w:t>קביעה זו שגויה מבחינה עובדתית.</w:t>
      </w:r>
      <w:r w:rsidR="00677520">
        <w:rPr>
          <w:rFonts w:ascii="David" w:eastAsia="Times New Roman" w:hAnsi="David" w:cs="David" w:hint="cs"/>
          <w:b/>
          <w:bCs/>
          <w:sz w:val="28"/>
          <w:szCs w:val="28"/>
          <w:rtl/>
        </w:rPr>
        <w:t xml:space="preserve"> </w:t>
      </w:r>
      <w:r w:rsidRPr="00677520">
        <w:rPr>
          <w:rFonts w:ascii="David" w:eastAsia="Times New Roman" w:hAnsi="David" w:cs="David" w:hint="cs"/>
          <w:sz w:val="28"/>
          <w:szCs w:val="28"/>
          <w:rtl/>
        </w:rPr>
        <w:t xml:space="preserve">שלישית, </w:t>
      </w:r>
      <w:proofErr w:type="spellStart"/>
      <w:r w:rsidRPr="00677520">
        <w:rPr>
          <w:rFonts w:ascii="David" w:eastAsia="Times New Roman" w:hAnsi="David" w:cs="David" w:hint="cs"/>
          <w:sz w:val="28"/>
          <w:szCs w:val="28"/>
          <w:rtl/>
        </w:rPr>
        <w:t>ביה"מ</w:t>
      </w:r>
      <w:proofErr w:type="spellEnd"/>
      <w:r w:rsidRPr="00677520">
        <w:rPr>
          <w:rFonts w:ascii="David" w:eastAsia="Times New Roman" w:hAnsi="David" w:cs="David" w:hint="cs"/>
          <w:sz w:val="28"/>
          <w:szCs w:val="28"/>
          <w:rtl/>
        </w:rPr>
        <w:t xml:space="preserve"> קמא קבע שמעדותו של החוקר חן בעמוד 286 לפרוטוקול, עולה שיחידת העיכוב דיווחה בזמן אמת כי המערער 1 עיין בפתק בשני צדדיו. </w:t>
      </w:r>
      <w:r w:rsidRPr="00677520">
        <w:rPr>
          <w:rFonts w:ascii="David" w:eastAsia="Times New Roman" w:hAnsi="David" w:cs="David" w:hint="cs"/>
          <w:b/>
          <w:bCs/>
          <w:sz w:val="28"/>
          <w:szCs w:val="28"/>
          <w:rtl/>
        </w:rPr>
        <w:t>גם קביעה זו שגויה מבחינה עובדתית.</w:t>
      </w:r>
    </w:p>
    <w:p w14:paraId="6B61D6AA" w14:textId="77777777" w:rsidR="00677520" w:rsidRDefault="00677520" w:rsidP="00DE0F58">
      <w:pPr>
        <w:pStyle w:val="a5"/>
        <w:shd w:val="clear" w:color="auto" w:fill="FFFFFF"/>
        <w:spacing w:after="0" w:line="360" w:lineRule="auto"/>
        <w:ind w:left="395"/>
        <w:jc w:val="both"/>
        <w:rPr>
          <w:rFonts w:ascii="David" w:eastAsia="Times New Roman" w:hAnsi="David" w:cs="David"/>
          <w:sz w:val="28"/>
          <w:szCs w:val="28"/>
          <w:rtl/>
        </w:rPr>
      </w:pPr>
    </w:p>
    <w:p w14:paraId="26F129EB" w14:textId="23751ABD" w:rsidR="00DE0F58" w:rsidRDefault="00DE0F58" w:rsidP="00DE0F58">
      <w:pPr>
        <w:pStyle w:val="a5"/>
        <w:numPr>
          <w:ilvl w:val="0"/>
          <w:numId w:val="18"/>
        </w:numPr>
        <w:shd w:val="clear" w:color="auto" w:fill="FFFFFF"/>
        <w:spacing w:after="0" w:line="360" w:lineRule="auto"/>
        <w:jc w:val="both"/>
        <w:rPr>
          <w:rFonts w:ascii="David" w:eastAsia="Times New Roman" w:hAnsi="David" w:cs="David"/>
          <w:sz w:val="28"/>
          <w:szCs w:val="28"/>
        </w:rPr>
      </w:pPr>
      <w:proofErr w:type="spellStart"/>
      <w:r>
        <w:rPr>
          <w:rFonts w:ascii="David" w:eastAsia="Times New Roman" w:hAnsi="David" w:cs="David" w:hint="cs"/>
          <w:sz w:val="28"/>
          <w:szCs w:val="28"/>
          <w:rtl/>
        </w:rPr>
        <w:t>ביה"מ</w:t>
      </w:r>
      <w:proofErr w:type="spellEnd"/>
      <w:r>
        <w:rPr>
          <w:rFonts w:ascii="David" w:eastAsia="Times New Roman" w:hAnsi="David" w:cs="David" w:hint="cs"/>
          <w:sz w:val="28"/>
          <w:szCs w:val="28"/>
          <w:rtl/>
        </w:rPr>
        <w:t xml:space="preserve"> קמא קבע כי מדברי המערער 1 עצמו מתחייבת המסקנה שהוא עיין בפתק בשני צדדיו. ברם, דברי המערער 1 לא רק שלא מחייבים את המסקנה הזו, אלא שהוא במפורש הכחיש ידיעה כלשהי כאילו גבי מגנזי העביר </w:t>
      </w:r>
      <w:proofErr w:type="spellStart"/>
      <w:r>
        <w:rPr>
          <w:rFonts w:ascii="David" w:eastAsia="Times New Roman" w:hAnsi="David" w:cs="David" w:hint="cs"/>
          <w:sz w:val="28"/>
          <w:szCs w:val="28"/>
          <w:rtl/>
        </w:rPr>
        <w:t>לפונטה</w:t>
      </w:r>
      <w:proofErr w:type="spellEnd"/>
      <w:r>
        <w:rPr>
          <w:rFonts w:ascii="David" w:eastAsia="Times New Roman" w:hAnsi="David" w:cs="David" w:hint="cs"/>
          <w:sz w:val="28"/>
          <w:szCs w:val="28"/>
          <w:rtl/>
        </w:rPr>
        <w:t xml:space="preserve"> כספים בהם השתמש </w:t>
      </w:r>
      <w:proofErr w:type="spellStart"/>
      <w:r>
        <w:rPr>
          <w:rFonts w:ascii="David" w:eastAsia="Times New Roman" w:hAnsi="David" w:cs="David" w:hint="cs"/>
          <w:sz w:val="28"/>
          <w:szCs w:val="28"/>
          <w:rtl/>
        </w:rPr>
        <w:t>פונטה</w:t>
      </w:r>
      <w:proofErr w:type="spellEnd"/>
      <w:r>
        <w:rPr>
          <w:rFonts w:ascii="David" w:eastAsia="Times New Roman" w:hAnsi="David" w:cs="David" w:hint="cs"/>
          <w:sz w:val="28"/>
          <w:szCs w:val="28"/>
          <w:rtl/>
        </w:rPr>
        <w:t xml:space="preserve"> לצורך תשלום הסכמי הפיצויים.</w:t>
      </w:r>
    </w:p>
    <w:p w14:paraId="5E8F9C8D" w14:textId="77777777" w:rsidR="00677520" w:rsidRDefault="00677520" w:rsidP="00677520">
      <w:pPr>
        <w:pStyle w:val="a5"/>
        <w:shd w:val="clear" w:color="auto" w:fill="FFFFFF"/>
        <w:spacing w:after="0" w:line="360" w:lineRule="auto"/>
        <w:ind w:left="395"/>
        <w:jc w:val="both"/>
        <w:rPr>
          <w:rFonts w:ascii="David" w:eastAsia="Times New Roman" w:hAnsi="David" w:cs="David"/>
          <w:sz w:val="28"/>
          <w:szCs w:val="28"/>
        </w:rPr>
      </w:pPr>
    </w:p>
    <w:p w14:paraId="2DCCDB70" w14:textId="5EE5FDDE" w:rsidR="00DE0F58" w:rsidRDefault="00DE0F58" w:rsidP="00DE0F58">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העוקבות שמו אוזניהן כאפרכסת לתוך צלחותיהם של הסועדים </w:t>
      </w:r>
      <w:proofErr w:type="spellStart"/>
      <w:r>
        <w:rPr>
          <w:rFonts w:ascii="David" w:eastAsia="Times New Roman" w:hAnsi="David" w:cs="David" w:hint="cs"/>
          <w:sz w:val="28"/>
          <w:szCs w:val="28"/>
          <w:rtl/>
        </w:rPr>
        <w:t>פונטה</w:t>
      </w:r>
      <w:proofErr w:type="spellEnd"/>
      <w:r>
        <w:rPr>
          <w:rFonts w:ascii="David" w:eastAsia="Times New Roman" w:hAnsi="David" w:cs="David" w:hint="cs"/>
          <w:sz w:val="28"/>
          <w:szCs w:val="28"/>
          <w:rtl/>
        </w:rPr>
        <w:t xml:space="preserve"> והמערער 1 ולמרות זאת לא שמעו דבר וחצי דבר באותה השיחה בין המערער 1 </w:t>
      </w:r>
      <w:proofErr w:type="spellStart"/>
      <w:r>
        <w:rPr>
          <w:rFonts w:ascii="David" w:eastAsia="Times New Roman" w:hAnsi="David" w:cs="David" w:hint="cs"/>
          <w:sz w:val="28"/>
          <w:szCs w:val="28"/>
          <w:rtl/>
        </w:rPr>
        <w:t>לפונטה</w:t>
      </w:r>
      <w:proofErr w:type="spellEnd"/>
      <w:r>
        <w:rPr>
          <w:rFonts w:ascii="David" w:eastAsia="Times New Roman" w:hAnsi="David" w:cs="David" w:hint="cs"/>
          <w:sz w:val="28"/>
          <w:szCs w:val="28"/>
          <w:rtl/>
        </w:rPr>
        <w:t xml:space="preserve"> שיש בו רמז לידיעת מערער 1 כאילו מגנזי העביר כספים </w:t>
      </w:r>
      <w:proofErr w:type="spellStart"/>
      <w:r>
        <w:rPr>
          <w:rFonts w:ascii="David" w:eastAsia="Times New Roman" w:hAnsi="David" w:cs="David" w:hint="cs"/>
          <w:sz w:val="28"/>
          <w:szCs w:val="28"/>
          <w:rtl/>
        </w:rPr>
        <w:t>לפונטה</w:t>
      </w:r>
      <w:proofErr w:type="spellEnd"/>
      <w:r>
        <w:rPr>
          <w:rFonts w:ascii="David" w:eastAsia="Times New Roman" w:hAnsi="David" w:cs="David" w:hint="cs"/>
          <w:sz w:val="28"/>
          <w:szCs w:val="28"/>
          <w:rtl/>
        </w:rPr>
        <w:t>.</w:t>
      </w:r>
    </w:p>
    <w:p w14:paraId="646C1B2F" w14:textId="77777777" w:rsidR="00677520" w:rsidRPr="00677520" w:rsidRDefault="00677520" w:rsidP="00677520">
      <w:pPr>
        <w:pStyle w:val="a5"/>
        <w:rPr>
          <w:rFonts w:ascii="David" w:eastAsia="Times New Roman" w:hAnsi="David" w:cs="David" w:hint="cs"/>
          <w:sz w:val="28"/>
          <w:szCs w:val="28"/>
          <w:rtl/>
        </w:rPr>
      </w:pPr>
    </w:p>
    <w:p w14:paraId="384905B1" w14:textId="77777777" w:rsidR="00677520" w:rsidRDefault="00677520" w:rsidP="00677520">
      <w:pPr>
        <w:pStyle w:val="a5"/>
        <w:shd w:val="clear" w:color="auto" w:fill="FFFFFF"/>
        <w:spacing w:after="0" w:line="360" w:lineRule="auto"/>
        <w:ind w:left="395"/>
        <w:jc w:val="both"/>
        <w:rPr>
          <w:rFonts w:ascii="David" w:eastAsia="Times New Roman" w:hAnsi="David" w:cs="David"/>
          <w:sz w:val="28"/>
          <w:szCs w:val="28"/>
        </w:rPr>
      </w:pPr>
    </w:p>
    <w:p w14:paraId="23930C4D" w14:textId="7E04D578" w:rsidR="00156351" w:rsidRPr="00677520" w:rsidRDefault="00DE0F58" w:rsidP="00677520">
      <w:pPr>
        <w:pStyle w:val="a5"/>
        <w:numPr>
          <w:ilvl w:val="0"/>
          <w:numId w:val="18"/>
        </w:num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הוסף לכל אלה את המחדל החקירתי בכך שהמשטרה נמנעה מלתפוס את המצלמות במסעדת "ציפורה", שם נערכה הפגישה בין </w:t>
      </w:r>
      <w:proofErr w:type="spellStart"/>
      <w:r>
        <w:rPr>
          <w:rFonts w:ascii="David" w:eastAsia="Times New Roman" w:hAnsi="David" w:cs="David" w:hint="cs"/>
          <w:sz w:val="28"/>
          <w:szCs w:val="28"/>
          <w:rtl/>
        </w:rPr>
        <w:t>פונטה</w:t>
      </w:r>
      <w:proofErr w:type="spellEnd"/>
      <w:r>
        <w:rPr>
          <w:rFonts w:ascii="David" w:eastAsia="Times New Roman" w:hAnsi="David" w:cs="David" w:hint="cs"/>
          <w:sz w:val="28"/>
          <w:szCs w:val="28"/>
          <w:rtl/>
        </w:rPr>
        <w:t xml:space="preserve"> למערער 1.</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בזמן אמת </w:t>
      </w:r>
      <w:proofErr w:type="spellStart"/>
      <w:r w:rsidRPr="00677520">
        <w:rPr>
          <w:rFonts w:ascii="David" w:eastAsia="Times New Roman" w:hAnsi="David" w:cs="David" w:hint="cs"/>
          <w:sz w:val="28"/>
          <w:szCs w:val="28"/>
          <w:rtl/>
        </w:rPr>
        <w:t>נעקבו</w:t>
      </w:r>
      <w:proofErr w:type="spellEnd"/>
      <w:r w:rsidRPr="00677520">
        <w:rPr>
          <w:rFonts w:ascii="David" w:eastAsia="Times New Roman" w:hAnsi="David" w:cs="David" w:hint="cs"/>
          <w:sz w:val="28"/>
          <w:szCs w:val="28"/>
          <w:rtl/>
        </w:rPr>
        <w:t xml:space="preserve"> </w:t>
      </w:r>
      <w:proofErr w:type="spellStart"/>
      <w:r w:rsidRPr="00677520">
        <w:rPr>
          <w:rFonts w:ascii="David" w:eastAsia="Times New Roman" w:hAnsi="David" w:cs="David" w:hint="cs"/>
          <w:sz w:val="28"/>
          <w:szCs w:val="28"/>
          <w:rtl/>
        </w:rPr>
        <w:t>פונטה</w:t>
      </w:r>
      <w:proofErr w:type="spellEnd"/>
      <w:r w:rsidRPr="00677520">
        <w:rPr>
          <w:rFonts w:ascii="David" w:eastAsia="Times New Roman" w:hAnsi="David" w:cs="David" w:hint="cs"/>
          <w:sz w:val="28"/>
          <w:szCs w:val="28"/>
          <w:rtl/>
        </w:rPr>
        <w:t xml:space="preserve"> והמערער 1 בשעה שסעדו ליבם במסעדת "ציפורה". בזמן אמת נתפס הפתק ת' 39.</w:t>
      </w:r>
      <w:r w:rsidR="00156351" w:rsidRPr="00677520">
        <w:rPr>
          <w:rFonts w:ascii="David" w:eastAsia="Times New Roman" w:hAnsi="David" w:cs="David" w:hint="cs"/>
          <w:sz w:val="28"/>
          <w:szCs w:val="28"/>
          <w:rtl/>
        </w:rPr>
        <w:t xml:space="preserve"> בזמן אמת נכתבו דוחותיהן של העוקבות מהם לא עלה כלל וכלל שהמערער 1 עיין בפתק לא מצד אחד ובוודאי לא משני צדדיו.</w:t>
      </w:r>
      <w:r w:rsidR="00677520">
        <w:rPr>
          <w:rFonts w:ascii="David" w:eastAsia="Times New Roman" w:hAnsi="David" w:cs="David" w:hint="cs"/>
          <w:sz w:val="28"/>
          <w:szCs w:val="28"/>
          <w:rtl/>
        </w:rPr>
        <w:t xml:space="preserve"> </w:t>
      </w:r>
      <w:r w:rsidR="00156351" w:rsidRPr="00677520">
        <w:rPr>
          <w:rFonts w:ascii="David" w:eastAsia="Times New Roman" w:hAnsi="David" w:cs="David" w:hint="cs"/>
          <w:sz w:val="28"/>
          <w:szCs w:val="28"/>
          <w:rtl/>
        </w:rPr>
        <w:t>מכיוון שהמדינה ייחסה חשיבות רבה לפתק, ומכיוון שהתמונה הראייתית לגבי ההתרחשות סביב שולחן שני הסועדים הייתה מתבהרת</w:t>
      </w:r>
      <w:r w:rsidR="00156351" w:rsidRPr="00677520">
        <w:rPr>
          <w:rFonts w:ascii="David" w:eastAsia="Times New Roman" w:hAnsi="David" w:cs="David" w:hint="cs"/>
          <w:b/>
          <w:bCs/>
          <w:sz w:val="28"/>
          <w:szCs w:val="28"/>
          <w:rtl/>
        </w:rPr>
        <w:t xml:space="preserve"> לכאן או לכאן </w:t>
      </w:r>
      <w:r w:rsidR="00156351" w:rsidRPr="00677520">
        <w:rPr>
          <w:rFonts w:ascii="David" w:eastAsia="Times New Roman" w:hAnsi="David" w:cs="David" w:hint="cs"/>
          <w:sz w:val="28"/>
          <w:szCs w:val="28"/>
          <w:rtl/>
        </w:rPr>
        <w:t xml:space="preserve">באמצעות המצלמות המותקנות במסעדה מכוח החוק- התחייבה תפיסת המצלמות. </w:t>
      </w:r>
    </w:p>
    <w:p w14:paraId="07A7F2A6" w14:textId="6EA6E488" w:rsidR="00156351" w:rsidRPr="00677520" w:rsidRDefault="00156351" w:rsidP="00677520">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 xml:space="preserve">ואולם המשטרה נמנעה מלתפוס את המצלמות ותירצה זאת במועד מאוחר במסגרת ניהול המשפט, בכך שתפיסת המצלמות הייתה עלולה לחשוף את נושא החקירה הסמויה. </w:t>
      </w:r>
      <w:proofErr w:type="spellStart"/>
      <w:r w:rsidRPr="00677520">
        <w:rPr>
          <w:rFonts w:ascii="David" w:eastAsia="Times New Roman" w:hAnsi="David" w:cs="David" w:hint="cs"/>
          <w:sz w:val="28"/>
          <w:szCs w:val="28"/>
          <w:rtl/>
        </w:rPr>
        <w:t>ביה"מ</w:t>
      </w:r>
      <w:proofErr w:type="spellEnd"/>
      <w:r w:rsidRPr="00677520">
        <w:rPr>
          <w:rFonts w:ascii="David" w:eastAsia="Times New Roman" w:hAnsi="David" w:cs="David" w:hint="cs"/>
          <w:sz w:val="28"/>
          <w:szCs w:val="28"/>
          <w:rtl/>
        </w:rPr>
        <w:t xml:space="preserve"> קמא קיבל את התירוץ הזה ובכך שגה. </w:t>
      </w:r>
    </w:p>
    <w:p w14:paraId="670966E3" w14:textId="77777777" w:rsidR="00677520" w:rsidRDefault="00677520" w:rsidP="00DE0F58">
      <w:pPr>
        <w:pStyle w:val="a5"/>
        <w:shd w:val="clear" w:color="auto" w:fill="FFFFFF"/>
        <w:spacing w:after="0" w:line="360" w:lineRule="auto"/>
        <w:ind w:left="395"/>
        <w:jc w:val="both"/>
        <w:rPr>
          <w:rFonts w:ascii="David" w:eastAsia="Times New Roman" w:hAnsi="David" w:cs="David"/>
          <w:sz w:val="28"/>
          <w:szCs w:val="28"/>
          <w:rtl/>
        </w:rPr>
      </w:pPr>
    </w:p>
    <w:p w14:paraId="0052269A" w14:textId="74891A56" w:rsidR="00156351" w:rsidRPr="00677520" w:rsidRDefault="00156351" w:rsidP="00677520">
      <w:pPr>
        <w:pStyle w:val="a5"/>
        <w:numPr>
          <w:ilvl w:val="0"/>
          <w:numId w:val="18"/>
        </w:num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המערער 1 יטען כי התירוץ הזה לא יכול לעמוד במבחן הביקורת. זאת משום שמסעדת "ציפורה" מארחת עשרות רבות של סועדים בכל יום ותפיסת המצלמות שבועיים </w:t>
      </w:r>
      <w:r>
        <w:rPr>
          <w:rFonts w:ascii="David" w:eastAsia="Times New Roman" w:hAnsi="David" w:cs="David"/>
          <w:sz w:val="28"/>
          <w:szCs w:val="28"/>
          <w:rtl/>
        </w:rPr>
        <w:t>–</w:t>
      </w:r>
      <w:r>
        <w:rPr>
          <w:rFonts w:ascii="David" w:eastAsia="Times New Roman" w:hAnsi="David" w:cs="David" w:hint="cs"/>
          <w:sz w:val="28"/>
          <w:szCs w:val="28"/>
          <w:rtl/>
        </w:rPr>
        <w:t xml:space="preserve"> שלושה לאחר המפגש לא יכולה הייתה לחשוף במאומה את החקירה </w:t>
      </w:r>
      <w:r>
        <w:rPr>
          <w:rFonts w:ascii="David" w:eastAsia="Times New Roman" w:hAnsi="David" w:cs="David" w:hint="cs"/>
          <w:sz w:val="28"/>
          <w:szCs w:val="28"/>
          <w:rtl/>
        </w:rPr>
        <w:lastRenderedPageBreak/>
        <w:t xml:space="preserve">הסמויה. </w:t>
      </w:r>
      <w:r w:rsidRPr="00677520">
        <w:rPr>
          <w:rFonts w:ascii="David" w:eastAsia="Times New Roman" w:hAnsi="David" w:cs="David" w:hint="cs"/>
          <w:sz w:val="28"/>
          <w:szCs w:val="28"/>
          <w:rtl/>
        </w:rPr>
        <w:t xml:space="preserve">לפיכך שגה </w:t>
      </w:r>
      <w:proofErr w:type="spellStart"/>
      <w:r w:rsidRPr="00677520">
        <w:rPr>
          <w:rFonts w:ascii="David" w:eastAsia="Times New Roman" w:hAnsi="David" w:cs="David" w:hint="cs"/>
          <w:sz w:val="28"/>
          <w:szCs w:val="28"/>
          <w:rtl/>
        </w:rPr>
        <w:t>ביה"מ</w:t>
      </w:r>
      <w:proofErr w:type="spellEnd"/>
      <w:r w:rsidRPr="00677520">
        <w:rPr>
          <w:rFonts w:ascii="David" w:eastAsia="Times New Roman" w:hAnsi="David" w:cs="David" w:hint="cs"/>
          <w:sz w:val="28"/>
          <w:szCs w:val="28"/>
          <w:rtl/>
        </w:rPr>
        <w:t xml:space="preserve"> קמא כאשר לא נתן משקל ראייתי למחדל החקירה הזה וקבע ממצאים לא מוכחים כנגד המערער 1 כאילו הוא עיין בפתק בשני צדדיו.</w:t>
      </w:r>
    </w:p>
    <w:p w14:paraId="651AABF5" w14:textId="77777777" w:rsidR="00677520" w:rsidRDefault="00677520" w:rsidP="00156351">
      <w:pPr>
        <w:pStyle w:val="a5"/>
        <w:shd w:val="clear" w:color="auto" w:fill="FFFFFF"/>
        <w:spacing w:after="0" w:line="360" w:lineRule="auto"/>
        <w:ind w:left="395"/>
        <w:jc w:val="both"/>
        <w:rPr>
          <w:rFonts w:ascii="David" w:eastAsia="Times New Roman" w:hAnsi="David" w:cs="David"/>
          <w:sz w:val="28"/>
          <w:szCs w:val="28"/>
          <w:rtl/>
        </w:rPr>
      </w:pPr>
    </w:p>
    <w:p w14:paraId="2C5F5A0E" w14:textId="77777777" w:rsidR="00B11D77" w:rsidRDefault="00156351" w:rsidP="00677520">
      <w:pPr>
        <w:pStyle w:val="a5"/>
        <w:numPr>
          <w:ilvl w:val="0"/>
          <w:numId w:val="18"/>
        </w:numPr>
        <w:shd w:val="clear" w:color="auto" w:fill="FFFFFF"/>
        <w:spacing w:after="0" w:line="360" w:lineRule="auto"/>
        <w:jc w:val="both"/>
        <w:rPr>
          <w:rFonts w:ascii="David" w:eastAsia="Times New Roman" w:hAnsi="David" w:cs="David"/>
          <w:sz w:val="28"/>
          <w:szCs w:val="28"/>
        </w:rPr>
      </w:pPr>
      <w:proofErr w:type="spellStart"/>
      <w:r>
        <w:rPr>
          <w:rFonts w:ascii="David" w:eastAsia="Times New Roman" w:hAnsi="David" w:cs="David" w:hint="cs"/>
          <w:sz w:val="28"/>
          <w:szCs w:val="28"/>
          <w:rtl/>
        </w:rPr>
        <w:t>ביה"מ</w:t>
      </w:r>
      <w:proofErr w:type="spellEnd"/>
      <w:r>
        <w:rPr>
          <w:rFonts w:ascii="David" w:eastAsia="Times New Roman" w:hAnsi="David" w:cs="David" w:hint="cs"/>
          <w:sz w:val="28"/>
          <w:szCs w:val="28"/>
          <w:rtl/>
        </w:rPr>
        <w:t xml:space="preserve"> קמא קבע </w:t>
      </w:r>
      <w:proofErr w:type="spellStart"/>
      <w:r>
        <w:rPr>
          <w:rFonts w:ascii="David" w:eastAsia="Times New Roman" w:hAnsi="David" w:cs="David" w:hint="cs"/>
          <w:sz w:val="28"/>
          <w:szCs w:val="28"/>
          <w:rtl/>
        </w:rPr>
        <w:t>שפונטה</w:t>
      </w:r>
      <w:proofErr w:type="spellEnd"/>
      <w:r>
        <w:rPr>
          <w:rFonts w:ascii="David" w:eastAsia="Times New Roman" w:hAnsi="David" w:cs="David" w:hint="cs"/>
          <w:sz w:val="28"/>
          <w:szCs w:val="28"/>
          <w:rtl/>
        </w:rPr>
        <w:t xml:space="preserve"> השתמש בכסף שקיבל מגבי מגנזי לצורך תשלום עבור הסכמי הפיצוי של המערער 1. קביעה </w:t>
      </w:r>
      <w:r w:rsidR="00B11D77">
        <w:rPr>
          <w:rFonts w:ascii="David" w:eastAsia="Times New Roman" w:hAnsi="David" w:cs="David" w:hint="cs"/>
          <w:sz w:val="28"/>
          <w:szCs w:val="28"/>
          <w:rtl/>
        </w:rPr>
        <w:t>ז</w:t>
      </w:r>
      <w:r>
        <w:rPr>
          <w:rFonts w:ascii="David" w:eastAsia="Times New Roman" w:hAnsi="David" w:cs="David" w:hint="cs"/>
          <w:sz w:val="28"/>
          <w:szCs w:val="28"/>
          <w:rtl/>
        </w:rPr>
        <w:t>ו הינה</w:t>
      </w:r>
      <w:r w:rsidR="00B11D77">
        <w:rPr>
          <w:rFonts w:ascii="David" w:eastAsia="Times New Roman" w:hAnsi="David" w:cs="David" w:hint="cs"/>
          <w:sz w:val="28"/>
          <w:szCs w:val="28"/>
          <w:rtl/>
        </w:rPr>
        <w:t xml:space="preserve"> בעלת</w:t>
      </w:r>
      <w:r>
        <w:rPr>
          <w:rFonts w:ascii="David" w:eastAsia="Times New Roman" w:hAnsi="David" w:cs="David" w:hint="cs"/>
          <w:sz w:val="28"/>
          <w:szCs w:val="28"/>
          <w:rtl/>
        </w:rPr>
        <w:t xml:space="preserve"> </w:t>
      </w:r>
      <w:proofErr w:type="spellStart"/>
      <w:r>
        <w:rPr>
          <w:rFonts w:ascii="David" w:eastAsia="Times New Roman" w:hAnsi="David" w:cs="David" w:hint="cs"/>
          <w:sz w:val="28"/>
          <w:szCs w:val="28"/>
          <w:rtl/>
        </w:rPr>
        <w:t>מימד</w:t>
      </w:r>
      <w:proofErr w:type="spellEnd"/>
      <w:r>
        <w:rPr>
          <w:rFonts w:ascii="David" w:eastAsia="Times New Roman" w:hAnsi="David" w:cs="David" w:hint="cs"/>
          <w:sz w:val="28"/>
          <w:szCs w:val="28"/>
          <w:rtl/>
        </w:rPr>
        <w:t xml:space="preserve"> השערתי שמקומו לא יכירנו במסגרת המשפט הפלילי.</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קביעה זו התבססה אך ורק על צירוף שני נתונים שהם בבחינת ראיות נסיבתיות שבשום אופן לא היו ראויים להוביל לקביעה הזו באופן וודאי.</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הנתונים הללו היו העברת 100,000 ₪ </w:t>
      </w:r>
      <w:proofErr w:type="spellStart"/>
      <w:r w:rsidRPr="00677520">
        <w:rPr>
          <w:rFonts w:ascii="David" w:eastAsia="Times New Roman" w:hAnsi="David" w:cs="David" w:hint="cs"/>
          <w:sz w:val="28"/>
          <w:szCs w:val="28"/>
          <w:rtl/>
        </w:rPr>
        <w:t>ממגנזי</w:t>
      </w:r>
      <w:proofErr w:type="spellEnd"/>
      <w:r w:rsidRPr="00677520">
        <w:rPr>
          <w:rFonts w:ascii="David" w:eastAsia="Times New Roman" w:hAnsi="David" w:cs="David" w:hint="cs"/>
          <w:sz w:val="28"/>
          <w:szCs w:val="28"/>
          <w:rtl/>
        </w:rPr>
        <w:t xml:space="preserve"> </w:t>
      </w:r>
      <w:proofErr w:type="spellStart"/>
      <w:r w:rsidRPr="00677520">
        <w:rPr>
          <w:rFonts w:ascii="David" w:eastAsia="Times New Roman" w:hAnsi="David" w:cs="David" w:hint="cs"/>
          <w:sz w:val="28"/>
          <w:szCs w:val="28"/>
          <w:rtl/>
        </w:rPr>
        <w:t>לפונטה</w:t>
      </w:r>
      <w:proofErr w:type="spellEnd"/>
      <w:r w:rsidRPr="00677520">
        <w:rPr>
          <w:rFonts w:ascii="David" w:eastAsia="Times New Roman" w:hAnsi="David" w:cs="David" w:hint="cs"/>
          <w:sz w:val="28"/>
          <w:szCs w:val="28"/>
          <w:rtl/>
        </w:rPr>
        <w:t xml:space="preserve"> ותשלום סך של 115,000 ₪ ע"י </w:t>
      </w:r>
      <w:proofErr w:type="spellStart"/>
      <w:r w:rsidRPr="00677520">
        <w:rPr>
          <w:rFonts w:ascii="David" w:eastAsia="Times New Roman" w:hAnsi="David" w:cs="David" w:hint="cs"/>
          <w:sz w:val="28"/>
          <w:szCs w:val="28"/>
          <w:rtl/>
        </w:rPr>
        <w:t>פונטה</w:t>
      </w:r>
      <w:proofErr w:type="spellEnd"/>
      <w:r w:rsidRPr="00677520">
        <w:rPr>
          <w:rFonts w:ascii="David" w:eastAsia="Times New Roman" w:hAnsi="David" w:cs="David" w:hint="cs"/>
          <w:sz w:val="28"/>
          <w:szCs w:val="28"/>
          <w:rtl/>
        </w:rPr>
        <w:t xml:space="preserve"> עבור הסכמי הפיצוי במהלך החודש שלאחר קבלת הכספים </w:t>
      </w:r>
      <w:proofErr w:type="spellStart"/>
      <w:r w:rsidRPr="00677520">
        <w:rPr>
          <w:rFonts w:ascii="David" w:eastAsia="Times New Roman" w:hAnsi="David" w:cs="David" w:hint="cs"/>
          <w:sz w:val="28"/>
          <w:szCs w:val="28"/>
          <w:rtl/>
        </w:rPr>
        <w:t>ממגנזי</w:t>
      </w:r>
      <w:proofErr w:type="spellEnd"/>
      <w:r w:rsidRPr="00677520">
        <w:rPr>
          <w:rFonts w:ascii="David" w:eastAsia="Times New Roman" w:hAnsi="David" w:cs="David" w:hint="cs"/>
          <w:sz w:val="28"/>
          <w:szCs w:val="28"/>
          <w:rtl/>
        </w:rPr>
        <w:t>.</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עם כל הכבוד הראוי, לא ניתן היה להוציא מסקנה סבירה אחת ויחידה כתוצאה משני הנתונים הנסיבתיים הללו.</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צריך לזכור שבין </w:t>
      </w:r>
      <w:proofErr w:type="spellStart"/>
      <w:r w:rsidRPr="00677520">
        <w:rPr>
          <w:rFonts w:ascii="David" w:eastAsia="Times New Roman" w:hAnsi="David" w:cs="David" w:hint="cs"/>
          <w:sz w:val="28"/>
          <w:szCs w:val="28"/>
          <w:rtl/>
        </w:rPr>
        <w:t>פונטה</w:t>
      </w:r>
      <w:proofErr w:type="spellEnd"/>
      <w:r w:rsidRPr="00677520">
        <w:rPr>
          <w:rFonts w:ascii="David" w:eastAsia="Times New Roman" w:hAnsi="David" w:cs="David" w:hint="cs"/>
          <w:sz w:val="28"/>
          <w:szCs w:val="28"/>
          <w:rtl/>
        </w:rPr>
        <w:t xml:space="preserve"> </w:t>
      </w:r>
      <w:proofErr w:type="spellStart"/>
      <w:r w:rsidRPr="00677520">
        <w:rPr>
          <w:rFonts w:ascii="David" w:eastAsia="Times New Roman" w:hAnsi="David" w:cs="David" w:hint="cs"/>
          <w:sz w:val="28"/>
          <w:szCs w:val="28"/>
          <w:rtl/>
        </w:rPr>
        <w:t>למגנזי</w:t>
      </w:r>
      <w:proofErr w:type="spellEnd"/>
      <w:r w:rsidRPr="00677520">
        <w:rPr>
          <w:rFonts w:ascii="David" w:eastAsia="Times New Roman" w:hAnsi="David" w:cs="David" w:hint="cs"/>
          <w:sz w:val="28"/>
          <w:szCs w:val="28"/>
          <w:rtl/>
        </w:rPr>
        <w:t xml:space="preserve"> שררו יחסי עבודה ויחסי חברות. ע"פ עדות </w:t>
      </w:r>
      <w:r w:rsidR="00B11D77">
        <w:rPr>
          <w:rFonts w:ascii="David" w:eastAsia="Times New Roman" w:hAnsi="David" w:cs="David" w:hint="cs"/>
          <w:sz w:val="28"/>
          <w:szCs w:val="28"/>
          <w:rtl/>
        </w:rPr>
        <w:t>ה</w:t>
      </w:r>
      <w:r w:rsidRPr="00677520">
        <w:rPr>
          <w:rFonts w:ascii="David" w:eastAsia="Times New Roman" w:hAnsi="David" w:cs="David" w:hint="cs"/>
          <w:sz w:val="28"/>
          <w:szCs w:val="28"/>
          <w:rtl/>
        </w:rPr>
        <w:t xml:space="preserve">נהג של גבי מגנזי, </w:t>
      </w:r>
      <w:proofErr w:type="spellStart"/>
      <w:r w:rsidRPr="00677520">
        <w:rPr>
          <w:rFonts w:ascii="David" w:eastAsia="Times New Roman" w:hAnsi="David" w:cs="David" w:hint="cs"/>
          <w:sz w:val="28"/>
          <w:szCs w:val="28"/>
          <w:rtl/>
        </w:rPr>
        <w:t>פונטה</w:t>
      </w:r>
      <w:proofErr w:type="spellEnd"/>
      <w:r w:rsidRPr="00677520">
        <w:rPr>
          <w:rFonts w:ascii="David" w:eastAsia="Times New Roman" w:hAnsi="David" w:cs="David" w:hint="cs"/>
          <w:sz w:val="28"/>
          <w:szCs w:val="28"/>
          <w:rtl/>
        </w:rPr>
        <w:t xml:space="preserve"> קיבל </w:t>
      </w:r>
      <w:proofErr w:type="spellStart"/>
      <w:r w:rsidRPr="00677520">
        <w:rPr>
          <w:rFonts w:ascii="David" w:eastAsia="Times New Roman" w:hAnsi="David" w:cs="David" w:hint="cs"/>
          <w:sz w:val="28"/>
          <w:szCs w:val="28"/>
          <w:rtl/>
        </w:rPr>
        <w:t>ממגנזי</w:t>
      </w:r>
      <w:proofErr w:type="spellEnd"/>
      <w:r w:rsidRPr="00677520">
        <w:rPr>
          <w:rFonts w:ascii="David" w:eastAsia="Times New Roman" w:hAnsi="David" w:cs="David" w:hint="cs"/>
          <w:sz w:val="28"/>
          <w:szCs w:val="28"/>
          <w:rtl/>
        </w:rPr>
        <w:t xml:space="preserve"> כספים גם בהזדמנות נוספת אחת לפחות</w:t>
      </w:r>
      <w:r w:rsidR="00B11D77">
        <w:rPr>
          <w:rFonts w:ascii="David" w:eastAsia="Times New Roman" w:hAnsi="David" w:cs="David" w:hint="cs"/>
          <w:sz w:val="28"/>
          <w:szCs w:val="28"/>
          <w:rtl/>
        </w:rPr>
        <w:t>.</w:t>
      </w:r>
      <w:r w:rsidRPr="00677520">
        <w:rPr>
          <w:rFonts w:ascii="David" w:eastAsia="Times New Roman" w:hAnsi="David" w:cs="David" w:hint="cs"/>
          <w:sz w:val="28"/>
          <w:szCs w:val="28"/>
          <w:rtl/>
        </w:rPr>
        <w:t xml:space="preserve"> </w:t>
      </w:r>
      <w:r w:rsidR="00B11D77">
        <w:rPr>
          <w:rFonts w:ascii="David" w:eastAsia="Times New Roman" w:hAnsi="David" w:cs="David" w:hint="cs"/>
          <w:sz w:val="28"/>
          <w:szCs w:val="28"/>
          <w:rtl/>
        </w:rPr>
        <w:t>( שאין ראיות ש</w:t>
      </w:r>
      <w:r w:rsidRPr="00677520">
        <w:rPr>
          <w:rFonts w:ascii="David" w:eastAsia="Times New Roman" w:hAnsi="David" w:cs="David" w:hint="cs"/>
          <w:sz w:val="28"/>
          <w:szCs w:val="28"/>
          <w:rtl/>
        </w:rPr>
        <w:t>נעשה בה שימוש לצורך תשלום עבור הסכמי הפיצויים</w:t>
      </w:r>
      <w:r w:rsidR="00B11D77">
        <w:rPr>
          <w:rFonts w:ascii="David" w:eastAsia="Times New Roman" w:hAnsi="David" w:cs="David" w:hint="cs"/>
          <w:sz w:val="28"/>
          <w:szCs w:val="28"/>
          <w:rtl/>
        </w:rPr>
        <w:t>)</w:t>
      </w:r>
      <w:r w:rsidRPr="00677520">
        <w:rPr>
          <w:rFonts w:ascii="David" w:eastAsia="Times New Roman" w:hAnsi="David" w:cs="David" w:hint="cs"/>
          <w:sz w:val="28"/>
          <w:szCs w:val="28"/>
          <w:rtl/>
        </w:rPr>
        <w:t>.</w:t>
      </w:r>
      <w:r w:rsidR="00677520">
        <w:rPr>
          <w:rFonts w:ascii="David" w:eastAsia="Times New Roman" w:hAnsi="David" w:cs="David" w:hint="cs"/>
          <w:sz w:val="28"/>
          <w:szCs w:val="28"/>
          <w:rtl/>
        </w:rPr>
        <w:t xml:space="preserve"> </w:t>
      </w:r>
    </w:p>
    <w:p w14:paraId="0EF51A3A" w14:textId="38ABA82B" w:rsidR="00011C80" w:rsidRPr="00677520" w:rsidRDefault="00011C80" w:rsidP="00B11D77">
      <w:pPr>
        <w:pStyle w:val="a5"/>
        <w:shd w:val="clear" w:color="auto" w:fill="FFFFFF"/>
        <w:spacing w:after="0" w:line="360" w:lineRule="auto"/>
        <w:ind w:left="395"/>
        <w:jc w:val="both"/>
        <w:rPr>
          <w:rFonts w:ascii="David" w:eastAsia="Times New Roman" w:hAnsi="David" w:cs="David"/>
          <w:sz w:val="28"/>
          <w:szCs w:val="28"/>
          <w:rtl/>
        </w:rPr>
      </w:pPr>
      <w:r w:rsidRPr="00677520">
        <w:rPr>
          <w:rFonts w:ascii="David" w:eastAsia="Times New Roman" w:hAnsi="David" w:cs="David" w:hint="cs"/>
          <w:sz w:val="28"/>
          <w:szCs w:val="28"/>
          <w:rtl/>
        </w:rPr>
        <w:t xml:space="preserve">לפיכך, סבירה בהחלט גם האפשרות שאפילו העביר מגנזי </w:t>
      </w:r>
      <w:proofErr w:type="spellStart"/>
      <w:r w:rsidRPr="00677520">
        <w:rPr>
          <w:rFonts w:ascii="David" w:eastAsia="Times New Roman" w:hAnsi="David" w:cs="David" w:hint="cs"/>
          <w:sz w:val="28"/>
          <w:szCs w:val="28"/>
          <w:rtl/>
        </w:rPr>
        <w:t>לפונטה</w:t>
      </w:r>
      <w:proofErr w:type="spellEnd"/>
      <w:r w:rsidRPr="00677520">
        <w:rPr>
          <w:rFonts w:ascii="David" w:eastAsia="Times New Roman" w:hAnsi="David" w:cs="David" w:hint="cs"/>
          <w:sz w:val="28"/>
          <w:szCs w:val="28"/>
          <w:rtl/>
        </w:rPr>
        <w:t xml:space="preserve"> 100,000 ₪ לא היה לכך כל קשר להסכמי הפיצוי של המערער 1 והיה זה במסגרת היחסים האישיים בין </w:t>
      </w:r>
      <w:proofErr w:type="spellStart"/>
      <w:r w:rsidRPr="00677520">
        <w:rPr>
          <w:rFonts w:ascii="David" w:eastAsia="Times New Roman" w:hAnsi="David" w:cs="David" w:hint="cs"/>
          <w:sz w:val="28"/>
          <w:szCs w:val="28"/>
          <w:rtl/>
        </w:rPr>
        <w:t>פונטה</w:t>
      </w:r>
      <w:proofErr w:type="spellEnd"/>
      <w:r w:rsidRPr="00677520">
        <w:rPr>
          <w:rFonts w:ascii="David" w:eastAsia="Times New Roman" w:hAnsi="David" w:cs="David" w:hint="cs"/>
          <w:sz w:val="28"/>
          <w:szCs w:val="28"/>
          <w:rtl/>
        </w:rPr>
        <w:t xml:space="preserve"> לבין מגנזי.</w:t>
      </w:r>
    </w:p>
    <w:p w14:paraId="0124E778" w14:textId="77777777" w:rsidR="00677520" w:rsidRDefault="00677520" w:rsidP="00156351">
      <w:pPr>
        <w:pStyle w:val="a5"/>
        <w:shd w:val="clear" w:color="auto" w:fill="FFFFFF"/>
        <w:spacing w:after="0" w:line="360" w:lineRule="auto"/>
        <w:ind w:left="395"/>
        <w:jc w:val="both"/>
        <w:rPr>
          <w:rFonts w:ascii="David" w:eastAsia="Times New Roman" w:hAnsi="David" w:cs="David"/>
          <w:sz w:val="28"/>
          <w:szCs w:val="28"/>
          <w:rtl/>
        </w:rPr>
      </w:pPr>
    </w:p>
    <w:p w14:paraId="0425EFAD" w14:textId="6F210855" w:rsidR="00011C80" w:rsidRDefault="00011C80" w:rsidP="00011C80">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 גם החלוקה של הרישום בפתק בין שני צדדיו תומכת באפשרות הזו. </w:t>
      </w:r>
    </w:p>
    <w:p w14:paraId="43DA5AD8" w14:textId="07DD076D" w:rsidR="00677520" w:rsidRDefault="00011C80" w:rsidP="00677520">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עינינו הרואות שקיימת חלוקה ברורה בין צידו הקדמי של הפתק לבין צידו האחורי</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בצידו הקדמי רשומים בבירור, בכתב גדול ובצורה מסודרת, זהות המלווים ולצידם גובה ההלוואות </w:t>
      </w:r>
      <w:proofErr w:type="spellStart"/>
      <w:r w:rsidRPr="00677520">
        <w:rPr>
          <w:rFonts w:ascii="David" w:eastAsia="Times New Roman" w:hAnsi="David" w:cs="David" w:hint="cs"/>
          <w:sz w:val="28"/>
          <w:szCs w:val="28"/>
          <w:rtl/>
        </w:rPr>
        <w:t>שהילוו</w:t>
      </w:r>
      <w:proofErr w:type="spellEnd"/>
      <w:r w:rsidRPr="00677520">
        <w:rPr>
          <w:rFonts w:ascii="David" w:eastAsia="Times New Roman" w:hAnsi="David" w:cs="David" w:hint="cs"/>
          <w:sz w:val="28"/>
          <w:szCs w:val="28"/>
          <w:rtl/>
        </w:rPr>
        <w:t xml:space="preserve"> ואשר </w:t>
      </w:r>
      <w:proofErr w:type="spellStart"/>
      <w:r w:rsidRPr="00677520">
        <w:rPr>
          <w:rFonts w:ascii="David" w:eastAsia="Times New Roman" w:hAnsi="David" w:cs="David" w:hint="cs"/>
          <w:sz w:val="28"/>
          <w:szCs w:val="28"/>
          <w:rtl/>
        </w:rPr>
        <w:t>פונטה</w:t>
      </w:r>
      <w:proofErr w:type="spellEnd"/>
      <w:r w:rsidRPr="00677520">
        <w:rPr>
          <w:rFonts w:ascii="David" w:eastAsia="Times New Roman" w:hAnsi="David" w:cs="David" w:hint="cs"/>
          <w:sz w:val="28"/>
          <w:szCs w:val="28"/>
          <w:rtl/>
        </w:rPr>
        <w:t xml:space="preserve"> התכוון בבירור </w:t>
      </w:r>
      <w:proofErr w:type="spellStart"/>
      <w:r w:rsidRPr="00677520">
        <w:rPr>
          <w:rFonts w:ascii="David" w:eastAsia="Times New Roman" w:hAnsi="David" w:cs="David" w:hint="cs"/>
          <w:sz w:val="28"/>
          <w:szCs w:val="28"/>
          <w:rtl/>
        </w:rPr>
        <w:t>להתשמש</w:t>
      </w:r>
      <w:proofErr w:type="spellEnd"/>
      <w:r w:rsidRPr="00677520">
        <w:rPr>
          <w:rFonts w:ascii="David" w:eastAsia="Times New Roman" w:hAnsi="David" w:cs="David" w:hint="cs"/>
          <w:sz w:val="28"/>
          <w:szCs w:val="28"/>
          <w:rtl/>
        </w:rPr>
        <w:t xml:space="preserve"> בהם לצורך תשלום עבור הסכמי הפיצויים. לעומת זאת הרישומים בצידו האחורי של הפתק רשומים בצורה שונה לחלוטין. בכתב לא ברור, ובחלקו ההפוך של הצד האחורי של הפתק כאשר באותו צד אחורי רשומים גם שמות ומספרים נוספים שאין מחלוקת שאינם קשורים לגיוס הכספים לצורך תשלום עבור הסכמי הפיצוי של המערער 1.</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אילו הרישומים בצידו האחורי של הפתק היו גם הם חלק ממערך גיוס הכספים שבם התכוון </w:t>
      </w:r>
      <w:proofErr w:type="spellStart"/>
      <w:r w:rsidRPr="00677520">
        <w:rPr>
          <w:rFonts w:ascii="David" w:eastAsia="Times New Roman" w:hAnsi="David" w:cs="David" w:hint="cs"/>
          <w:sz w:val="28"/>
          <w:szCs w:val="28"/>
          <w:rtl/>
        </w:rPr>
        <w:t>פונטה</w:t>
      </w:r>
      <w:proofErr w:type="spellEnd"/>
      <w:r w:rsidRPr="00677520">
        <w:rPr>
          <w:rFonts w:ascii="David" w:eastAsia="Times New Roman" w:hAnsi="David" w:cs="David" w:hint="cs"/>
          <w:sz w:val="28"/>
          <w:szCs w:val="28"/>
          <w:rtl/>
        </w:rPr>
        <w:t xml:space="preserve"> להשתמש לצורך תשלום הסכמי הפיצוי </w:t>
      </w:r>
      <w:r w:rsidRPr="00677520">
        <w:rPr>
          <w:rFonts w:ascii="David" w:eastAsia="Times New Roman" w:hAnsi="David" w:cs="David"/>
          <w:sz w:val="28"/>
          <w:szCs w:val="28"/>
          <w:rtl/>
        </w:rPr>
        <w:t>–</w:t>
      </w:r>
      <w:r w:rsidRPr="00677520">
        <w:rPr>
          <w:rFonts w:ascii="David" w:eastAsia="Times New Roman" w:hAnsi="David" w:cs="David" w:hint="cs"/>
          <w:sz w:val="28"/>
          <w:szCs w:val="28"/>
          <w:rtl/>
        </w:rPr>
        <w:t xml:space="preserve"> לא הייתה שום סיבה שהם לא ירשמו בבירור בחלקו הקדמי של הפתק כפי שנרשמו אחרים.</w:t>
      </w:r>
    </w:p>
    <w:p w14:paraId="4572A203" w14:textId="59BE1685" w:rsidR="00677520" w:rsidRDefault="00677520" w:rsidP="00677520">
      <w:pPr>
        <w:pStyle w:val="a5"/>
        <w:shd w:val="clear" w:color="auto" w:fill="FFFFFF"/>
        <w:spacing w:after="0" w:line="360" w:lineRule="auto"/>
        <w:ind w:left="395"/>
        <w:jc w:val="both"/>
        <w:rPr>
          <w:rFonts w:ascii="David" w:eastAsia="Times New Roman" w:hAnsi="David" w:cs="David"/>
          <w:sz w:val="28"/>
          <w:szCs w:val="28"/>
          <w:rtl/>
        </w:rPr>
      </w:pPr>
    </w:p>
    <w:p w14:paraId="6C72C674" w14:textId="0A343DB0" w:rsidR="00677520" w:rsidRDefault="00677520" w:rsidP="00677520">
      <w:pPr>
        <w:pStyle w:val="a5"/>
        <w:shd w:val="clear" w:color="auto" w:fill="FFFFFF"/>
        <w:spacing w:after="0" w:line="360" w:lineRule="auto"/>
        <w:ind w:left="395"/>
        <w:jc w:val="both"/>
        <w:rPr>
          <w:rFonts w:ascii="David" w:eastAsia="Times New Roman" w:hAnsi="David" w:cs="David"/>
          <w:sz w:val="28"/>
          <w:szCs w:val="28"/>
          <w:rtl/>
        </w:rPr>
      </w:pPr>
    </w:p>
    <w:p w14:paraId="112F51FF" w14:textId="77777777" w:rsidR="00677520" w:rsidRPr="00677520" w:rsidRDefault="00677520" w:rsidP="00677520">
      <w:pPr>
        <w:pStyle w:val="a5"/>
        <w:shd w:val="clear" w:color="auto" w:fill="FFFFFF"/>
        <w:spacing w:after="0" w:line="360" w:lineRule="auto"/>
        <w:ind w:left="395"/>
        <w:jc w:val="both"/>
        <w:rPr>
          <w:rFonts w:ascii="David" w:eastAsia="Times New Roman" w:hAnsi="David" w:cs="David"/>
          <w:sz w:val="28"/>
          <w:szCs w:val="28"/>
          <w:rtl/>
        </w:rPr>
      </w:pPr>
    </w:p>
    <w:p w14:paraId="1C8F798B" w14:textId="2959C4BE" w:rsidR="00011C80" w:rsidRPr="00677520" w:rsidRDefault="00011C80" w:rsidP="00677520">
      <w:pPr>
        <w:pStyle w:val="a5"/>
        <w:numPr>
          <w:ilvl w:val="0"/>
          <w:numId w:val="18"/>
        </w:num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 הנה כי כן, ההבדלה הברורה בין השמות והמספרים בחלק הקדמי של הפתק לבין השמות והמספרים שנרשמו בחלק האחורי של הפתק דווקא תומך באפשרות </w:t>
      </w:r>
      <w:r>
        <w:rPr>
          <w:rFonts w:ascii="David" w:eastAsia="Times New Roman" w:hAnsi="David" w:cs="David" w:hint="cs"/>
          <w:sz w:val="28"/>
          <w:szCs w:val="28"/>
          <w:rtl/>
        </w:rPr>
        <w:lastRenderedPageBreak/>
        <w:t>שהגורמים שנרשמו בחלק האחורי של הפתק, ובתוכם גבי מגנזי, אינם קשורים כלל לגיוס הכספים עבור הסכמי הפיצוי של המערער 1.</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 xml:space="preserve">אם כך הם פני הדברים הרי שאין כל חשיבות לרישום שרשם </w:t>
      </w:r>
      <w:proofErr w:type="spellStart"/>
      <w:r w:rsidRPr="00677520">
        <w:rPr>
          <w:rFonts w:ascii="David" w:eastAsia="Times New Roman" w:hAnsi="David" w:cs="David" w:hint="cs"/>
          <w:sz w:val="28"/>
          <w:szCs w:val="28"/>
          <w:rtl/>
        </w:rPr>
        <w:t>פונטה</w:t>
      </w:r>
      <w:proofErr w:type="spellEnd"/>
      <w:r w:rsidRPr="00677520">
        <w:rPr>
          <w:rFonts w:ascii="David" w:eastAsia="Times New Roman" w:hAnsi="David" w:cs="David" w:hint="cs"/>
          <w:sz w:val="28"/>
          <w:szCs w:val="28"/>
          <w:rtl/>
        </w:rPr>
        <w:t>, במקום ובתאריך לא ידועים, בגב הפתק.</w:t>
      </w:r>
    </w:p>
    <w:p w14:paraId="00B37637" w14:textId="77777777" w:rsidR="00677520" w:rsidRDefault="00677520" w:rsidP="00011C80">
      <w:pPr>
        <w:pStyle w:val="a5"/>
        <w:shd w:val="clear" w:color="auto" w:fill="FFFFFF"/>
        <w:spacing w:after="0" w:line="360" w:lineRule="auto"/>
        <w:ind w:left="395"/>
        <w:jc w:val="both"/>
        <w:rPr>
          <w:rFonts w:ascii="David" w:eastAsia="Times New Roman" w:hAnsi="David" w:cs="David"/>
          <w:sz w:val="28"/>
          <w:szCs w:val="28"/>
          <w:rtl/>
        </w:rPr>
      </w:pPr>
    </w:p>
    <w:p w14:paraId="2522F022" w14:textId="6DAC20EC" w:rsidR="00011C80" w:rsidRDefault="00011C80" w:rsidP="00011C80">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בסעיף 22 (ב') לעיל פירטנו </w:t>
      </w:r>
      <w:r w:rsidR="00B11D77">
        <w:rPr>
          <w:rFonts w:ascii="David" w:eastAsia="Times New Roman" w:hAnsi="David" w:cs="David" w:hint="cs"/>
          <w:sz w:val="28"/>
          <w:szCs w:val="28"/>
          <w:rtl/>
        </w:rPr>
        <w:t xml:space="preserve">את </w:t>
      </w:r>
      <w:r>
        <w:rPr>
          <w:rFonts w:ascii="David" w:eastAsia="Times New Roman" w:hAnsi="David" w:cs="David" w:hint="cs"/>
          <w:sz w:val="28"/>
          <w:szCs w:val="28"/>
          <w:rtl/>
        </w:rPr>
        <w:t>טענותינו בנוגע להרשעת המערער 1 באישום הרביעי ולפיכך אין צורך לחזור עליהם שנית.</w:t>
      </w:r>
    </w:p>
    <w:p w14:paraId="242EFA0A" w14:textId="77777777" w:rsidR="00677520" w:rsidRDefault="00677520" w:rsidP="00677520">
      <w:pPr>
        <w:pStyle w:val="a5"/>
        <w:shd w:val="clear" w:color="auto" w:fill="FFFFFF"/>
        <w:spacing w:after="0" w:line="360" w:lineRule="auto"/>
        <w:ind w:left="395"/>
        <w:jc w:val="both"/>
        <w:rPr>
          <w:rFonts w:ascii="David" w:eastAsia="Times New Roman" w:hAnsi="David" w:cs="David"/>
          <w:sz w:val="28"/>
          <w:szCs w:val="28"/>
        </w:rPr>
      </w:pPr>
    </w:p>
    <w:p w14:paraId="1E7371CE" w14:textId="67CA57CD" w:rsidR="00011C80" w:rsidRDefault="00011C80" w:rsidP="00011C80">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באישום החמישי הורשע המערער 1 בעבירה לפי סעיף 220 (5) לפקודת מס הכנסה.</w:t>
      </w:r>
    </w:p>
    <w:p w14:paraId="7B35F795" w14:textId="2D48D17A" w:rsidR="00B833D3" w:rsidRPr="00677520" w:rsidRDefault="00011C80" w:rsidP="00677520">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 xml:space="preserve">ע"פ קביעת </w:t>
      </w:r>
      <w:proofErr w:type="spellStart"/>
      <w:r>
        <w:rPr>
          <w:rFonts w:ascii="David" w:eastAsia="Times New Roman" w:hAnsi="David" w:cs="David" w:hint="cs"/>
          <w:sz w:val="28"/>
          <w:szCs w:val="28"/>
          <w:rtl/>
        </w:rPr>
        <w:t>ביה"מ</w:t>
      </w:r>
      <w:proofErr w:type="spellEnd"/>
      <w:r>
        <w:rPr>
          <w:rFonts w:ascii="David" w:eastAsia="Times New Roman" w:hAnsi="David" w:cs="David" w:hint="cs"/>
          <w:sz w:val="28"/>
          <w:szCs w:val="28"/>
          <w:rtl/>
        </w:rPr>
        <w:t xml:space="preserve"> קמא סך של 835,000 ₪ שקיבל המערער 1 </w:t>
      </w:r>
      <w:proofErr w:type="spellStart"/>
      <w:r w:rsidR="00B833D3">
        <w:rPr>
          <w:rFonts w:ascii="David" w:eastAsia="Times New Roman" w:hAnsi="David" w:cs="David" w:hint="cs"/>
          <w:sz w:val="28"/>
          <w:szCs w:val="28"/>
          <w:rtl/>
        </w:rPr>
        <w:t>מפונטה</w:t>
      </w:r>
      <w:proofErr w:type="spellEnd"/>
      <w:r w:rsidR="00B833D3">
        <w:rPr>
          <w:rFonts w:ascii="David" w:eastAsia="Times New Roman" w:hAnsi="David" w:cs="David" w:hint="cs"/>
          <w:sz w:val="28"/>
          <w:szCs w:val="28"/>
          <w:rtl/>
        </w:rPr>
        <w:t xml:space="preserve"> ומהמערער 2 הינו בגדר הכנסה חייבת בדיווח למס הכנסה</w:t>
      </w:r>
      <w:r w:rsidR="00677520">
        <w:rPr>
          <w:rFonts w:ascii="David" w:eastAsia="Times New Roman" w:hAnsi="David" w:cs="David" w:hint="cs"/>
          <w:sz w:val="28"/>
          <w:szCs w:val="28"/>
          <w:rtl/>
        </w:rPr>
        <w:t xml:space="preserve">. </w:t>
      </w:r>
      <w:r w:rsidR="00B833D3" w:rsidRPr="00677520">
        <w:rPr>
          <w:rFonts w:ascii="David" w:eastAsia="Times New Roman" w:hAnsi="David" w:cs="David" w:hint="cs"/>
          <w:sz w:val="28"/>
          <w:szCs w:val="28"/>
          <w:rtl/>
        </w:rPr>
        <w:t xml:space="preserve">עוד קבע </w:t>
      </w:r>
      <w:proofErr w:type="spellStart"/>
      <w:r w:rsidR="00B833D3" w:rsidRPr="00677520">
        <w:rPr>
          <w:rFonts w:ascii="David" w:eastAsia="Times New Roman" w:hAnsi="David" w:cs="David" w:hint="cs"/>
          <w:sz w:val="28"/>
          <w:szCs w:val="28"/>
          <w:rtl/>
        </w:rPr>
        <w:t>ביה"מ</w:t>
      </w:r>
      <w:proofErr w:type="spellEnd"/>
      <w:r w:rsidR="00B833D3" w:rsidRPr="00677520">
        <w:rPr>
          <w:rFonts w:ascii="David" w:eastAsia="Times New Roman" w:hAnsi="David" w:cs="David" w:hint="cs"/>
          <w:sz w:val="28"/>
          <w:szCs w:val="28"/>
          <w:rtl/>
        </w:rPr>
        <w:t xml:space="preserve"> קמא כי חוסר הדיווח למס הכנסה נבע מתחבולה שנועדה בכוונה מיוחדת, להתחמק מתשלום מס.</w:t>
      </w:r>
    </w:p>
    <w:p w14:paraId="2A7EBAFB" w14:textId="77777777" w:rsidR="00677520" w:rsidRDefault="00677520" w:rsidP="00011C80">
      <w:pPr>
        <w:pStyle w:val="a5"/>
        <w:shd w:val="clear" w:color="auto" w:fill="FFFFFF"/>
        <w:spacing w:after="0" w:line="360" w:lineRule="auto"/>
        <w:ind w:left="395"/>
        <w:jc w:val="both"/>
        <w:rPr>
          <w:rFonts w:ascii="David" w:eastAsia="Times New Roman" w:hAnsi="David" w:cs="David"/>
          <w:sz w:val="28"/>
          <w:szCs w:val="28"/>
          <w:rtl/>
        </w:rPr>
      </w:pPr>
    </w:p>
    <w:p w14:paraId="0ED1C784" w14:textId="35A54E37" w:rsidR="00B833D3" w:rsidRPr="00677520" w:rsidRDefault="00B833D3" w:rsidP="00677520">
      <w:pPr>
        <w:pStyle w:val="a5"/>
        <w:numPr>
          <w:ilvl w:val="0"/>
          <w:numId w:val="18"/>
        </w:num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המערער יטען כי ההלוואות הפרטיות שקיבל </w:t>
      </w:r>
      <w:proofErr w:type="spellStart"/>
      <w:r>
        <w:rPr>
          <w:rFonts w:ascii="David" w:eastAsia="Times New Roman" w:hAnsi="David" w:cs="David" w:hint="cs"/>
          <w:sz w:val="28"/>
          <w:szCs w:val="28"/>
          <w:rtl/>
        </w:rPr>
        <w:t>מפונטה</w:t>
      </w:r>
      <w:proofErr w:type="spellEnd"/>
      <w:r>
        <w:rPr>
          <w:rFonts w:ascii="David" w:eastAsia="Times New Roman" w:hAnsi="David" w:cs="David" w:hint="cs"/>
          <w:sz w:val="28"/>
          <w:szCs w:val="28"/>
          <w:rtl/>
        </w:rPr>
        <w:t xml:space="preserve"> ומהמערער</w:t>
      </w:r>
      <w:r w:rsidR="00B11D77">
        <w:rPr>
          <w:rFonts w:ascii="David" w:eastAsia="Times New Roman" w:hAnsi="David" w:cs="David" w:hint="cs"/>
          <w:sz w:val="28"/>
          <w:szCs w:val="28"/>
          <w:rtl/>
        </w:rPr>
        <w:t xml:space="preserve"> 2 </w:t>
      </w:r>
      <w:r>
        <w:rPr>
          <w:rFonts w:ascii="David" w:eastAsia="Times New Roman" w:hAnsi="David" w:cs="David" w:hint="cs"/>
          <w:sz w:val="28"/>
          <w:szCs w:val="28"/>
          <w:rtl/>
        </w:rPr>
        <w:t>, אינן בגדר הכנסות החייבות בדיווח למס הכנסה.</w:t>
      </w:r>
      <w:r w:rsidR="00677520">
        <w:rPr>
          <w:rFonts w:ascii="David" w:eastAsia="Times New Roman" w:hAnsi="David" w:cs="David" w:hint="cs"/>
          <w:sz w:val="28"/>
          <w:szCs w:val="28"/>
          <w:rtl/>
        </w:rPr>
        <w:t xml:space="preserve"> </w:t>
      </w:r>
      <w:r w:rsidRPr="00677520">
        <w:rPr>
          <w:rFonts w:ascii="David" w:eastAsia="Times New Roman" w:hAnsi="David" w:cs="David" w:hint="cs"/>
          <w:sz w:val="28"/>
          <w:szCs w:val="28"/>
          <w:rtl/>
        </w:rPr>
        <w:t>כמו כן ייטען המערער 1 כי אפילו ההלוואות היו חייבות בדיווח למס הכנסה, הרי שמועד הדיווח המותר היה לפחות עד אמצע שנת 2016, זאת מכיוון שמדובר בהכנסות בשנת המס 2015.</w:t>
      </w:r>
    </w:p>
    <w:p w14:paraId="03BAE8EE" w14:textId="58C6608E" w:rsidR="00B833D3" w:rsidRDefault="00B833D3" w:rsidP="00B833D3">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 xml:space="preserve">מכיוון שכך ומכיוון שהחקירה הגלויה שבה אישר המערער עצמו את קיומם של הסכמי הפיצוי שחתם עליהם, וכן את העובדה שביקש </w:t>
      </w:r>
      <w:proofErr w:type="spellStart"/>
      <w:r>
        <w:rPr>
          <w:rFonts w:ascii="David" w:eastAsia="Times New Roman" w:hAnsi="David" w:cs="David" w:hint="cs"/>
          <w:sz w:val="28"/>
          <w:szCs w:val="28"/>
          <w:rtl/>
        </w:rPr>
        <w:t>מפונטה</w:t>
      </w:r>
      <w:proofErr w:type="spellEnd"/>
      <w:r>
        <w:rPr>
          <w:rFonts w:ascii="David" w:eastAsia="Times New Roman" w:hAnsi="David" w:cs="David" w:hint="cs"/>
          <w:sz w:val="28"/>
          <w:szCs w:val="28"/>
          <w:rtl/>
        </w:rPr>
        <w:t xml:space="preserve"> ומהמערער 2 לסייע לו בגיוס הכספים, נערכה בחודש ינואר 2016 </w:t>
      </w:r>
      <w:r w:rsidR="00B11D77">
        <w:rPr>
          <w:rFonts w:ascii="David" w:eastAsia="Times New Roman" w:hAnsi="David" w:cs="David" w:hint="cs"/>
          <w:sz w:val="28"/>
          <w:szCs w:val="28"/>
          <w:rtl/>
        </w:rPr>
        <w:t>(</w:t>
      </w:r>
      <w:r>
        <w:rPr>
          <w:rFonts w:ascii="David" w:eastAsia="Times New Roman" w:hAnsi="David" w:cs="David" w:hint="cs"/>
          <w:sz w:val="28"/>
          <w:szCs w:val="28"/>
          <w:rtl/>
        </w:rPr>
        <w:t>במהלכה השתתפו גם חוקרי מס הכנסה</w:t>
      </w:r>
      <w:r w:rsidR="00B11D77">
        <w:rPr>
          <w:rFonts w:ascii="David" w:eastAsia="Times New Roman" w:hAnsi="David" w:cs="David" w:hint="cs"/>
          <w:sz w:val="28"/>
          <w:szCs w:val="28"/>
          <w:rtl/>
        </w:rPr>
        <w:t>)</w:t>
      </w:r>
      <w:r>
        <w:rPr>
          <w:rFonts w:ascii="David" w:eastAsia="Times New Roman" w:hAnsi="David" w:cs="David" w:hint="cs"/>
          <w:sz w:val="28"/>
          <w:szCs w:val="28"/>
          <w:rtl/>
        </w:rPr>
        <w:t xml:space="preserve"> יש לראות בגרסתו במהלך חקירתו בבחינת דיווח לשלטונות מס הכנסה, אם היה בכך צורך.</w:t>
      </w:r>
    </w:p>
    <w:p w14:paraId="2A04DDB4" w14:textId="77777777" w:rsidR="00677520" w:rsidRDefault="00677520" w:rsidP="00B833D3">
      <w:pPr>
        <w:pStyle w:val="a5"/>
        <w:shd w:val="clear" w:color="auto" w:fill="FFFFFF"/>
        <w:spacing w:after="0" w:line="360" w:lineRule="auto"/>
        <w:ind w:left="395"/>
        <w:jc w:val="both"/>
        <w:rPr>
          <w:rFonts w:ascii="David" w:eastAsia="Times New Roman" w:hAnsi="David" w:cs="David"/>
          <w:sz w:val="28"/>
          <w:szCs w:val="28"/>
          <w:rtl/>
        </w:rPr>
      </w:pPr>
    </w:p>
    <w:p w14:paraId="0BEF8C91" w14:textId="4D73077E" w:rsidR="00B833D3" w:rsidRDefault="00B833D3" w:rsidP="00B833D3">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בכל מקרה אין מדובר בעבירת המס החמורה שיוחסה למערער 1 שדורשת קיומה של כוונה מיוחדת לרמות במטרה להתחמק מתשלום מס. בנסיבות שבפנינו הרי אין מחלוקת שההלוואות שקיבל המערער 1 </w:t>
      </w:r>
      <w:proofErr w:type="spellStart"/>
      <w:r>
        <w:rPr>
          <w:rFonts w:ascii="David" w:eastAsia="Times New Roman" w:hAnsi="David" w:cs="David" w:hint="cs"/>
          <w:sz w:val="28"/>
          <w:szCs w:val="28"/>
          <w:rtl/>
        </w:rPr>
        <w:t>מפונטה</w:t>
      </w:r>
      <w:proofErr w:type="spellEnd"/>
      <w:r>
        <w:rPr>
          <w:rFonts w:ascii="David" w:eastAsia="Times New Roman" w:hAnsi="David" w:cs="David" w:hint="cs"/>
          <w:sz w:val="28"/>
          <w:szCs w:val="28"/>
          <w:rtl/>
        </w:rPr>
        <w:t xml:space="preserve"> ומהמערער 2 היו ידועות היטב לגורמי אכיפת החוק ובכללם גם לחוקרי  מס הכנסה ולפיכך הטענה כאילו אי הדיווח לגורמים הללו נבע מרצון להסתיר מידע משלטונות מס הכנסה </w:t>
      </w:r>
      <w:r>
        <w:rPr>
          <w:rFonts w:ascii="David" w:eastAsia="Times New Roman" w:hAnsi="David" w:cs="David"/>
          <w:sz w:val="28"/>
          <w:szCs w:val="28"/>
          <w:rtl/>
        </w:rPr>
        <w:t>–</w:t>
      </w:r>
      <w:r>
        <w:rPr>
          <w:rFonts w:ascii="David" w:eastAsia="Times New Roman" w:hAnsi="David" w:cs="David" w:hint="cs"/>
          <w:sz w:val="28"/>
          <w:szCs w:val="28"/>
          <w:rtl/>
        </w:rPr>
        <w:t xml:space="preserve"> מנותק</w:t>
      </w:r>
      <w:r w:rsidR="00B11D77">
        <w:rPr>
          <w:rFonts w:ascii="David" w:eastAsia="Times New Roman" w:hAnsi="David" w:cs="David" w:hint="cs"/>
          <w:sz w:val="28"/>
          <w:szCs w:val="28"/>
          <w:rtl/>
        </w:rPr>
        <w:t>ת</w:t>
      </w:r>
      <w:r>
        <w:rPr>
          <w:rFonts w:ascii="David" w:eastAsia="Times New Roman" w:hAnsi="David" w:cs="David" w:hint="cs"/>
          <w:sz w:val="28"/>
          <w:szCs w:val="28"/>
          <w:rtl/>
        </w:rPr>
        <w:t xml:space="preserve"> לחלוטין מהנסיבות של אי הדיווח במקרה שבפנינו.</w:t>
      </w:r>
    </w:p>
    <w:p w14:paraId="19AAEF59" w14:textId="77777777" w:rsidR="00677520" w:rsidRDefault="00677520" w:rsidP="00677520">
      <w:pPr>
        <w:pStyle w:val="a5"/>
        <w:shd w:val="clear" w:color="auto" w:fill="FFFFFF"/>
        <w:spacing w:after="0" w:line="360" w:lineRule="auto"/>
        <w:ind w:left="395"/>
        <w:jc w:val="both"/>
        <w:rPr>
          <w:rFonts w:ascii="David" w:eastAsia="Times New Roman" w:hAnsi="David" w:cs="David"/>
          <w:sz w:val="28"/>
          <w:szCs w:val="28"/>
        </w:rPr>
      </w:pPr>
    </w:p>
    <w:p w14:paraId="55AC8537" w14:textId="77777777" w:rsidR="00677520" w:rsidRDefault="00677520" w:rsidP="00677520">
      <w:pPr>
        <w:pStyle w:val="a5"/>
        <w:shd w:val="clear" w:color="auto" w:fill="FFFFFF"/>
        <w:spacing w:after="0" w:line="360" w:lineRule="auto"/>
        <w:ind w:left="395"/>
        <w:jc w:val="both"/>
        <w:rPr>
          <w:rFonts w:ascii="David" w:eastAsia="Times New Roman" w:hAnsi="David" w:cs="David"/>
          <w:sz w:val="28"/>
          <w:szCs w:val="28"/>
        </w:rPr>
      </w:pPr>
    </w:p>
    <w:p w14:paraId="2AD737BB" w14:textId="1C4753D6" w:rsidR="00B833D3" w:rsidRDefault="00B833D3" w:rsidP="00B833D3">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לחילופין, מופנה ערעורם של שני המערערים גם כנגד חומרת העונש. </w:t>
      </w:r>
    </w:p>
    <w:p w14:paraId="77680A90" w14:textId="567F66DF" w:rsidR="00B833D3" w:rsidRDefault="00B833D3" w:rsidP="00B833D3">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 xml:space="preserve">המערער 1 יטען כי העונשים שהטילו בתי משפט בישראל במקרים דומים לעניינו היו קלים יותר. לפיכך ובהתחשב במצבו האישי והמשפחתי של המערער 1 כפי </w:t>
      </w:r>
      <w:r>
        <w:rPr>
          <w:rFonts w:ascii="David" w:eastAsia="Times New Roman" w:hAnsi="David" w:cs="David" w:hint="cs"/>
          <w:sz w:val="28"/>
          <w:szCs w:val="28"/>
          <w:rtl/>
        </w:rPr>
        <w:lastRenderedPageBreak/>
        <w:t xml:space="preserve">שנפרשו בפני </w:t>
      </w:r>
      <w:proofErr w:type="spellStart"/>
      <w:r>
        <w:rPr>
          <w:rFonts w:ascii="David" w:eastAsia="Times New Roman" w:hAnsi="David" w:cs="David" w:hint="cs"/>
          <w:sz w:val="28"/>
          <w:szCs w:val="28"/>
          <w:rtl/>
        </w:rPr>
        <w:t>ביה"מ</w:t>
      </w:r>
      <w:proofErr w:type="spellEnd"/>
      <w:r>
        <w:rPr>
          <w:rFonts w:ascii="David" w:eastAsia="Times New Roman" w:hAnsi="David" w:cs="David" w:hint="cs"/>
          <w:sz w:val="28"/>
          <w:szCs w:val="28"/>
          <w:rtl/>
        </w:rPr>
        <w:t xml:space="preserve"> קמא וכן בנסיבות המקילות יחסית בהן בוצעו העבירות במקרה שבפנינו שאינן ברף הגבוה של חומרת עבירות השוחד או הפרת האמונים </w:t>
      </w:r>
      <w:r>
        <w:rPr>
          <w:rFonts w:ascii="David" w:eastAsia="Times New Roman" w:hAnsi="David" w:cs="David"/>
          <w:sz w:val="28"/>
          <w:szCs w:val="28"/>
          <w:rtl/>
        </w:rPr>
        <w:t>–</w:t>
      </w:r>
      <w:r>
        <w:rPr>
          <w:rFonts w:ascii="David" w:eastAsia="Times New Roman" w:hAnsi="David" w:cs="David" w:hint="cs"/>
          <w:sz w:val="28"/>
          <w:szCs w:val="28"/>
          <w:rtl/>
        </w:rPr>
        <w:t xml:space="preserve"> היה מקום להטיל עליו עונש מתון באופן משמעותי הן בפן של מרכיב המאסר בפועל והן בפן של גובה הקנס העצום שהוטל עליו בסך 400,000 ₪.</w:t>
      </w:r>
    </w:p>
    <w:p w14:paraId="709A5552" w14:textId="77777777" w:rsidR="00677520" w:rsidRDefault="00677520" w:rsidP="00B833D3">
      <w:pPr>
        <w:pStyle w:val="a5"/>
        <w:shd w:val="clear" w:color="auto" w:fill="FFFFFF"/>
        <w:spacing w:after="0" w:line="360" w:lineRule="auto"/>
        <w:ind w:left="395"/>
        <w:jc w:val="both"/>
        <w:rPr>
          <w:rFonts w:ascii="David" w:eastAsia="Times New Roman" w:hAnsi="David" w:cs="David"/>
          <w:sz w:val="28"/>
          <w:szCs w:val="28"/>
          <w:rtl/>
        </w:rPr>
      </w:pPr>
    </w:p>
    <w:p w14:paraId="52FA0A04" w14:textId="6BC82299" w:rsidR="00B833D3" w:rsidRDefault="00B833D3" w:rsidP="00B833D3">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המערער 2 יטען כי במכלול נסיבות העניין ולאור קביעותיו העובדתיות של </w:t>
      </w:r>
      <w:proofErr w:type="spellStart"/>
      <w:r>
        <w:rPr>
          <w:rFonts w:ascii="David" w:eastAsia="Times New Roman" w:hAnsi="David" w:cs="David" w:hint="cs"/>
          <w:sz w:val="28"/>
          <w:szCs w:val="28"/>
          <w:rtl/>
        </w:rPr>
        <w:t>ביה"מ</w:t>
      </w:r>
      <w:proofErr w:type="spellEnd"/>
      <w:r>
        <w:rPr>
          <w:rFonts w:ascii="David" w:eastAsia="Times New Roman" w:hAnsi="David" w:cs="David" w:hint="cs"/>
          <w:sz w:val="28"/>
          <w:szCs w:val="28"/>
          <w:rtl/>
        </w:rPr>
        <w:t xml:space="preserve"> קמא</w:t>
      </w:r>
      <w:r w:rsidR="00A962AF">
        <w:rPr>
          <w:rFonts w:ascii="David" w:eastAsia="Times New Roman" w:hAnsi="David" w:cs="David" w:hint="cs"/>
          <w:sz w:val="28"/>
          <w:szCs w:val="28"/>
          <w:rtl/>
        </w:rPr>
        <w:t xml:space="preserve"> בנוגע לאישיותו ולתלותו בדוידי ובהפעלתו ע"י דוידי </w:t>
      </w:r>
      <w:r w:rsidR="00A962AF">
        <w:rPr>
          <w:rFonts w:ascii="David" w:eastAsia="Times New Roman" w:hAnsi="David" w:cs="David"/>
          <w:sz w:val="28"/>
          <w:szCs w:val="28"/>
          <w:rtl/>
        </w:rPr>
        <w:t>–</w:t>
      </w:r>
      <w:r w:rsidR="00A962AF">
        <w:rPr>
          <w:rFonts w:ascii="David" w:eastAsia="Times New Roman" w:hAnsi="David" w:cs="David" w:hint="cs"/>
          <w:sz w:val="28"/>
          <w:szCs w:val="28"/>
          <w:rtl/>
        </w:rPr>
        <w:t xml:space="preserve"> בשום אופן לא היה מקום להשית עליו עונש חמור מזה שהוטל על דוידי (מאסר לריצוי בעבודות שירות). זאת גם בהתחשב בכך שהמערער 2 כמעט ולא היה שותף למהלכי ההסוואה </w:t>
      </w:r>
      <w:proofErr w:type="spellStart"/>
      <w:r w:rsidR="00A962AF">
        <w:rPr>
          <w:rFonts w:ascii="David" w:eastAsia="Times New Roman" w:hAnsi="David" w:cs="David" w:hint="cs"/>
          <w:sz w:val="28"/>
          <w:szCs w:val="28"/>
          <w:rtl/>
        </w:rPr>
        <w:t>שביה"מ</w:t>
      </w:r>
      <w:proofErr w:type="spellEnd"/>
      <w:r w:rsidR="00A962AF">
        <w:rPr>
          <w:rFonts w:ascii="David" w:eastAsia="Times New Roman" w:hAnsi="David" w:cs="David" w:hint="cs"/>
          <w:sz w:val="28"/>
          <w:szCs w:val="28"/>
          <w:rtl/>
        </w:rPr>
        <w:t xml:space="preserve"> קבע (כאמור, בטעות </w:t>
      </w:r>
      <w:proofErr w:type="spellStart"/>
      <w:r w:rsidR="00A962AF">
        <w:rPr>
          <w:rFonts w:ascii="David" w:eastAsia="Times New Roman" w:hAnsi="David" w:cs="David" w:hint="cs"/>
          <w:sz w:val="28"/>
          <w:szCs w:val="28"/>
          <w:rtl/>
        </w:rPr>
        <w:t>להשקפתינו</w:t>
      </w:r>
      <w:proofErr w:type="spellEnd"/>
      <w:r w:rsidR="00A962AF">
        <w:rPr>
          <w:rFonts w:ascii="David" w:eastAsia="Times New Roman" w:hAnsi="David" w:cs="David" w:hint="cs"/>
          <w:sz w:val="28"/>
          <w:szCs w:val="28"/>
          <w:rtl/>
        </w:rPr>
        <w:t>) שבוצעו בתיק שבפנינו.</w:t>
      </w:r>
    </w:p>
    <w:p w14:paraId="77E43280" w14:textId="77777777" w:rsidR="00677520" w:rsidRDefault="00677520" w:rsidP="00677520">
      <w:pPr>
        <w:pStyle w:val="a5"/>
        <w:shd w:val="clear" w:color="auto" w:fill="FFFFFF"/>
        <w:spacing w:after="0" w:line="360" w:lineRule="auto"/>
        <w:ind w:left="395"/>
        <w:jc w:val="both"/>
        <w:rPr>
          <w:rFonts w:ascii="David" w:eastAsia="Times New Roman" w:hAnsi="David" w:cs="David"/>
          <w:sz w:val="28"/>
          <w:szCs w:val="28"/>
        </w:rPr>
      </w:pPr>
    </w:p>
    <w:p w14:paraId="357C817C" w14:textId="08726080" w:rsidR="00A962AF" w:rsidRDefault="00A962AF" w:rsidP="00B833D3">
      <w:pPr>
        <w:pStyle w:val="a5"/>
        <w:numPr>
          <w:ilvl w:val="0"/>
          <w:numId w:val="18"/>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עוד יטען המערער 2 כי נסיבותיו האישיות, משפחתיות וכלכליות, הן יוצאות דופן בחריגותן. לפיכך ולנוכח חלקו הפחות משל כל יתר הנאשמים, לא היה מקום להטיל עליו מאסר בפועל לריצוי מאחורי סורג ובריח. </w:t>
      </w:r>
    </w:p>
    <w:p w14:paraId="26ECB5B0" w14:textId="77777777" w:rsidR="00677520" w:rsidRPr="00677520" w:rsidRDefault="00677520" w:rsidP="00677520">
      <w:pPr>
        <w:shd w:val="clear" w:color="auto" w:fill="FFFFFF"/>
        <w:spacing w:after="0" w:line="360" w:lineRule="auto"/>
        <w:jc w:val="both"/>
        <w:rPr>
          <w:rFonts w:ascii="David" w:eastAsia="Times New Roman" w:hAnsi="David" w:cs="David"/>
          <w:sz w:val="28"/>
          <w:szCs w:val="28"/>
        </w:rPr>
      </w:pPr>
    </w:p>
    <w:p w14:paraId="5B1918D3" w14:textId="11E875E3" w:rsidR="00A962AF" w:rsidRDefault="00A962AF" w:rsidP="00B833D3">
      <w:pPr>
        <w:pStyle w:val="a5"/>
        <w:numPr>
          <w:ilvl w:val="0"/>
          <w:numId w:val="18"/>
        </w:numPr>
        <w:shd w:val="clear" w:color="auto" w:fill="FFFFFF"/>
        <w:spacing w:after="0" w:line="360" w:lineRule="auto"/>
        <w:jc w:val="both"/>
        <w:rPr>
          <w:rFonts w:ascii="David" w:eastAsia="Times New Roman" w:hAnsi="David" w:cs="David"/>
          <w:sz w:val="28"/>
          <w:szCs w:val="28"/>
        </w:rPr>
      </w:pPr>
      <w:proofErr w:type="spellStart"/>
      <w:r>
        <w:rPr>
          <w:rFonts w:ascii="David" w:eastAsia="Times New Roman" w:hAnsi="David" w:cs="David" w:hint="cs"/>
          <w:sz w:val="28"/>
          <w:szCs w:val="28"/>
          <w:rtl/>
        </w:rPr>
        <w:t>ביה"מ</w:t>
      </w:r>
      <w:proofErr w:type="spellEnd"/>
      <w:r>
        <w:rPr>
          <w:rFonts w:ascii="David" w:eastAsia="Times New Roman" w:hAnsi="David" w:cs="David" w:hint="cs"/>
          <w:sz w:val="28"/>
          <w:szCs w:val="28"/>
          <w:rtl/>
        </w:rPr>
        <w:t xml:space="preserve"> קמא שגה שגיאה רבה בכך שדחה את בקשתו של המערער 2 לקבלת תסקיר קצין מבחן בעניינו. נסיבות ביצוע העבירה ע"י המערער 2 מתאפיינות </w:t>
      </w:r>
      <w:proofErr w:type="spellStart"/>
      <w:r>
        <w:rPr>
          <w:rFonts w:ascii="David" w:eastAsia="Times New Roman" w:hAnsi="David" w:cs="David" w:hint="cs"/>
          <w:sz w:val="28"/>
          <w:szCs w:val="28"/>
          <w:rtl/>
        </w:rPr>
        <w:t>במימד</w:t>
      </w:r>
      <w:proofErr w:type="spellEnd"/>
      <w:r>
        <w:rPr>
          <w:rFonts w:ascii="David" w:eastAsia="Times New Roman" w:hAnsi="David" w:cs="David" w:hint="cs"/>
          <w:sz w:val="28"/>
          <w:szCs w:val="28"/>
          <w:rtl/>
        </w:rPr>
        <w:t xml:space="preserve"> החד פעמי בו נכשל המערער 2. לכישלונו הבודד לא הייתה המשכיות והוא נבע </w:t>
      </w:r>
      <w:proofErr w:type="spellStart"/>
      <w:r>
        <w:rPr>
          <w:rFonts w:ascii="David" w:eastAsia="Times New Roman" w:hAnsi="David" w:cs="David" w:hint="cs"/>
          <w:sz w:val="28"/>
          <w:szCs w:val="28"/>
          <w:rtl/>
        </w:rPr>
        <w:t>מהיותו</w:t>
      </w:r>
      <w:proofErr w:type="spellEnd"/>
      <w:r>
        <w:rPr>
          <w:rFonts w:ascii="David" w:eastAsia="Times New Roman" w:hAnsi="David" w:cs="David" w:hint="cs"/>
          <w:sz w:val="28"/>
          <w:szCs w:val="28"/>
          <w:rtl/>
        </w:rPr>
        <w:t xml:space="preserve"> נתון במצב שקשה היה לעמוד בפניו. לפיכך, ולמצער, ראוי היה </w:t>
      </w:r>
      <w:proofErr w:type="spellStart"/>
      <w:r>
        <w:rPr>
          <w:rFonts w:ascii="David" w:eastAsia="Times New Roman" w:hAnsi="David" w:cs="David" w:hint="cs"/>
          <w:sz w:val="28"/>
          <w:szCs w:val="28"/>
          <w:rtl/>
        </w:rPr>
        <w:t>שביה"מ</w:t>
      </w:r>
      <w:proofErr w:type="spellEnd"/>
      <w:r>
        <w:rPr>
          <w:rFonts w:ascii="David" w:eastAsia="Times New Roman" w:hAnsi="David" w:cs="David" w:hint="cs"/>
          <w:sz w:val="28"/>
          <w:szCs w:val="28"/>
          <w:rtl/>
        </w:rPr>
        <w:t xml:space="preserve"> קמא ייעתר לבקשתו</w:t>
      </w:r>
      <w:r w:rsidR="00B11D77">
        <w:rPr>
          <w:rFonts w:ascii="David" w:eastAsia="Times New Roman" w:hAnsi="David" w:cs="David" w:hint="cs"/>
          <w:sz w:val="28"/>
          <w:szCs w:val="28"/>
          <w:rtl/>
        </w:rPr>
        <w:t xml:space="preserve"> לקבלת תסקיר שירות המבחן</w:t>
      </w:r>
      <w:r>
        <w:rPr>
          <w:rFonts w:ascii="David" w:eastAsia="Times New Roman" w:hAnsi="David" w:cs="David" w:hint="cs"/>
          <w:sz w:val="28"/>
          <w:szCs w:val="28"/>
          <w:rtl/>
        </w:rPr>
        <w:t xml:space="preserve"> בטרם יגזור עליו עונש מאסר לריצוי בפועל על כל התוצאות הקריטיות שעלולות לנבוע מכך הן למערער 2 והן למשפחתו, אשתו ולילדיו הקטינים. </w:t>
      </w:r>
    </w:p>
    <w:p w14:paraId="576BBBCA" w14:textId="77777777" w:rsidR="00677520" w:rsidRPr="00677520" w:rsidRDefault="00677520" w:rsidP="00677520">
      <w:pPr>
        <w:shd w:val="clear" w:color="auto" w:fill="FFFFFF"/>
        <w:spacing w:after="0" w:line="360" w:lineRule="auto"/>
        <w:jc w:val="both"/>
        <w:rPr>
          <w:rFonts w:ascii="David" w:eastAsia="Times New Roman" w:hAnsi="David" w:cs="David"/>
          <w:sz w:val="28"/>
          <w:szCs w:val="28"/>
        </w:rPr>
      </w:pPr>
    </w:p>
    <w:p w14:paraId="1D819B47" w14:textId="27490308" w:rsidR="00A962AF" w:rsidRPr="00B833D3" w:rsidRDefault="00A962AF" w:rsidP="00B833D3">
      <w:pPr>
        <w:pStyle w:val="a5"/>
        <w:numPr>
          <w:ilvl w:val="0"/>
          <w:numId w:val="18"/>
        </w:num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בית המשפט הנכבד מתבקש להיעתר לערעור זה ולזכות את המערערים מכל העבירות בהן הורשעו </w:t>
      </w:r>
      <w:proofErr w:type="spellStart"/>
      <w:r>
        <w:rPr>
          <w:rFonts w:ascii="David" w:eastAsia="Times New Roman" w:hAnsi="David" w:cs="David" w:hint="cs"/>
          <w:sz w:val="28"/>
          <w:szCs w:val="28"/>
          <w:rtl/>
        </w:rPr>
        <w:t>בביה"מ</w:t>
      </w:r>
      <w:proofErr w:type="spellEnd"/>
      <w:r>
        <w:rPr>
          <w:rFonts w:ascii="David" w:eastAsia="Times New Roman" w:hAnsi="David" w:cs="David" w:hint="cs"/>
          <w:sz w:val="28"/>
          <w:szCs w:val="28"/>
          <w:rtl/>
        </w:rPr>
        <w:t xml:space="preserve"> קמא, ולחלופין, להקל על עונשם באופן משמעותי.</w:t>
      </w:r>
    </w:p>
    <w:p w14:paraId="00D42671" w14:textId="77777777" w:rsidR="000B1005" w:rsidRPr="00A20C87" w:rsidRDefault="000B1005" w:rsidP="00A20C87">
      <w:pPr>
        <w:shd w:val="clear" w:color="auto" w:fill="FFFFFF"/>
        <w:spacing w:after="0" w:line="360" w:lineRule="auto"/>
        <w:jc w:val="both"/>
        <w:rPr>
          <w:rFonts w:ascii="David" w:eastAsia="Times New Roman" w:hAnsi="David" w:cs="David"/>
          <w:sz w:val="28"/>
          <w:szCs w:val="28"/>
        </w:rPr>
      </w:pPr>
    </w:p>
    <w:p w14:paraId="70B9F20B" w14:textId="16F8AE70" w:rsidR="003656D0" w:rsidRPr="00677520" w:rsidRDefault="00677520" w:rsidP="003656D0">
      <w:pPr>
        <w:shd w:val="clear" w:color="auto" w:fill="FFFFFF"/>
        <w:spacing w:after="0" w:line="360" w:lineRule="auto"/>
        <w:ind w:left="35"/>
        <w:jc w:val="both"/>
        <w:rPr>
          <w:rFonts w:ascii="David" w:eastAsia="Times New Roman" w:hAnsi="David" w:cs="David"/>
          <w:sz w:val="28"/>
          <w:szCs w:val="28"/>
          <w:u w:val="single"/>
          <w:rtl/>
        </w:rPr>
      </w:pPr>
      <w:r>
        <w:rPr>
          <w:rFonts w:ascii="David" w:eastAsia="Times New Roman" w:hAnsi="David" w:cs="David" w:hint="cs"/>
          <w:sz w:val="28"/>
          <w:szCs w:val="28"/>
          <w:rtl/>
        </w:rPr>
        <w:t xml:space="preserve">                                                                                                       </w:t>
      </w:r>
      <w:r w:rsidRPr="00677520">
        <w:rPr>
          <w:rFonts w:ascii="David" w:eastAsia="Times New Roman" w:hAnsi="David" w:cs="David" w:hint="cs"/>
          <w:sz w:val="28"/>
          <w:szCs w:val="28"/>
          <w:u w:val="single"/>
          <w:rtl/>
        </w:rPr>
        <w:t>אשר אוחיון, עו"ד</w:t>
      </w:r>
    </w:p>
    <w:p w14:paraId="2D307719" w14:textId="3440047B" w:rsidR="00B43327" w:rsidRPr="00B43327" w:rsidRDefault="00677520" w:rsidP="001B4728">
      <w:pPr>
        <w:pStyle w:val="a5"/>
        <w:shd w:val="clear" w:color="auto" w:fill="FFFFFF"/>
        <w:spacing w:after="0" w:line="360" w:lineRule="auto"/>
        <w:ind w:left="395"/>
        <w:jc w:val="both"/>
        <w:rPr>
          <w:rFonts w:ascii="David" w:eastAsia="Times New Roman" w:hAnsi="David" w:cs="David"/>
          <w:sz w:val="28"/>
          <w:szCs w:val="28"/>
          <w:rtl/>
        </w:rPr>
      </w:pPr>
      <w:r>
        <w:rPr>
          <w:rFonts w:ascii="David" w:eastAsia="Times New Roman" w:hAnsi="David" w:cs="David" w:hint="cs"/>
          <w:sz w:val="28"/>
          <w:szCs w:val="28"/>
          <w:rtl/>
        </w:rPr>
        <w:t xml:space="preserve">                                                                                                    ב"כ המערערים</w:t>
      </w:r>
    </w:p>
    <w:p w14:paraId="6BF754D3" w14:textId="77777777" w:rsidR="00CE5EF0" w:rsidRPr="00B43327" w:rsidRDefault="00CE5EF0" w:rsidP="005C67AB">
      <w:pPr>
        <w:pStyle w:val="a5"/>
        <w:shd w:val="clear" w:color="auto" w:fill="FFFFFF"/>
        <w:spacing w:after="0" w:line="360" w:lineRule="auto"/>
        <w:ind w:left="755"/>
        <w:jc w:val="both"/>
        <w:rPr>
          <w:rFonts w:ascii="David" w:eastAsia="Times New Roman" w:hAnsi="David" w:cs="David"/>
          <w:b/>
          <w:bCs/>
          <w:sz w:val="28"/>
          <w:szCs w:val="28"/>
        </w:rPr>
      </w:pPr>
    </w:p>
    <w:p w14:paraId="3C7062C2" w14:textId="2EBC689B" w:rsidR="004C046B" w:rsidRPr="000B1005" w:rsidRDefault="00F80A8A" w:rsidP="003B1ABF">
      <w:pPr>
        <w:shd w:val="clear" w:color="auto" w:fill="FFFFFF"/>
        <w:spacing w:after="0" w:line="360" w:lineRule="auto"/>
        <w:jc w:val="both"/>
        <w:rPr>
          <w:rFonts w:ascii="David" w:eastAsia="Times New Roman" w:hAnsi="David" w:cs="David"/>
          <w:sz w:val="16"/>
          <w:szCs w:val="16"/>
          <w:rtl/>
        </w:rPr>
      </w:pPr>
      <w:r w:rsidRPr="000B1005">
        <w:rPr>
          <w:rFonts w:ascii="David" w:eastAsia="Times New Roman" w:hAnsi="David" w:cs="David" w:hint="cs"/>
          <w:sz w:val="16"/>
          <w:szCs w:val="16"/>
          <w:rtl/>
        </w:rPr>
        <w:t xml:space="preserve">          </w:t>
      </w:r>
      <w:r w:rsidR="000B1005" w:rsidRPr="000B1005">
        <w:rPr>
          <w:rFonts w:ascii="David" w:eastAsia="Times New Roman" w:hAnsi="David" w:cs="David"/>
          <w:sz w:val="16"/>
          <w:szCs w:val="16"/>
          <w:rtl/>
        </w:rPr>
        <w:fldChar w:fldCharType="begin"/>
      </w:r>
      <w:r w:rsidR="000B1005" w:rsidRPr="000B1005">
        <w:rPr>
          <w:rFonts w:ascii="David" w:eastAsia="Times New Roman" w:hAnsi="David" w:cs="David"/>
          <w:sz w:val="16"/>
          <w:szCs w:val="16"/>
          <w:rtl/>
        </w:rPr>
        <w:instrText xml:space="preserve"> </w:instrText>
      </w:r>
      <w:r w:rsidR="000B1005" w:rsidRPr="000B1005">
        <w:rPr>
          <w:rFonts w:ascii="David" w:eastAsia="Times New Roman" w:hAnsi="David" w:cs="David" w:hint="cs"/>
          <w:sz w:val="16"/>
          <w:szCs w:val="16"/>
        </w:rPr>
        <w:instrText>FILENAME  \p  \* MERGEFORMAT</w:instrText>
      </w:r>
      <w:r w:rsidR="000B1005" w:rsidRPr="000B1005">
        <w:rPr>
          <w:rFonts w:ascii="David" w:eastAsia="Times New Roman" w:hAnsi="David" w:cs="David"/>
          <w:sz w:val="16"/>
          <w:szCs w:val="16"/>
          <w:rtl/>
        </w:rPr>
        <w:instrText xml:space="preserve"> </w:instrText>
      </w:r>
      <w:r w:rsidR="000B1005" w:rsidRPr="000B1005">
        <w:rPr>
          <w:rFonts w:ascii="David" w:eastAsia="Times New Roman" w:hAnsi="David" w:cs="David"/>
          <w:sz w:val="16"/>
          <w:szCs w:val="16"/>
          <w:rtl/>
        </w:rPr>
        <w:fldChar w:fldCharType="separate"/>
      </w:r>
      <w:r w:rsidR="000B1005" w:rsidRPr="000B1005">
        <w:rPr>
          <w:rFonts w:ascii="David" w:eastAsia="Times New Roman" w:hAnsi="David" w:cs="David"/>
          <w:noProof/>
          <w:sz w:val="16"/>
          <w:szCs w:val="16"/>
        </w:rPr>
        <w:t>Z:\OFFICE</w:t>
      </w:r>
      <w:r w:rsidR="000B1005" w:rsidRPr="000B1005">
        <w:rPr>
          <w:rFonts w:ascii="David" w:eastAsia="Times New Roman" w:hAnsi="David" w:cs="David"/>
          <w:noProof/>
          <w:sz w:val="16"/>
          <w:szCs w:val="16"/>
          <w:rtl/>
        </w:rPr>
        <w:t>\אשר\אשר חדש\נ-ת\שמעוני איתמר\שמעוני עופר ואיתמר- כתב נימוקי הערעור.</w:t>
      </w:r>
      <w:r w:rsidR="000B1005" w:rsidRPr="000B1005">
        <w:rPr>
          <w:rFonts w:ascii="David" w:eastAsia="Times New Roman" w:hAnsi="David" w:cs="David"/>
          <w:noProof/>
          <w:sz w:val="16"/>
          <w:szCs w:val="16"/>
        </w:rPr>
        <w:t>docx</w:t>
      </w:r>
      <w:r w:rsidR="000B1005" w:rsidRPr="000B1005">
        <w:rPr>
          <w:rFonts w:ascii="David" w:eastAsia="Times New Roman" w:hAnsi="David" w:cs="David"/>
          <w:sz w:val="16"/>
          <w:szCs w:val="16"/>
          <w:rtl/>
        </w:rPr>
        <w:fldChar w:fldCharType="end"/>
      </w:r>
      <w:r w:rsidRPr="000B1005">
        <w:rPr>
          <w:rFonts w:ascii="David" w:eastAsia="Times New Roman" w:hAnsi="David" w:cs="David" w:hint="cs"/>
          <w:sz w:val="16"/>
          <w:szCs w:val="16"/>
          <w:rtl/>
        </w:rPr>
        <w:t xml:space="preserve">                          </w:t>
      </w:r>
    </w:p>
    <w:p w14:paraId="304C2D15" w14:textId="5FDB7030" w:rsidR="004C046B" w:rsidRPr="000B1005" w:rsidRDefault="004C046B" w:rsidP="008F52F2">
      <w:pPr>
        <w:shd w:val="clear" w:color="auto" w:fill="FFFFFF"/>
        <w:spacing w:after="0" w:line="360" w:lineRule="auto"/>
        <w:ind w:left="-193"/>
        <w:jc w:val="both"/>
        <w:rPr>
          <w:rFonts w:ascii="David" w:eastAsia="Times New Roman" w:hAnsi="David" w:cs="David"/>
          <w:sz w:val="16"/>
          <w:szCs w:val="16"/>
          <w:rtl/>
        </w:rPr>
      </w:pPr>
      <w:r w:rsidRPr="000B1005">
        <w:rPr>
          <w:rFonts w:ascii="David" w:eastAsia="Times New Roman" w:hAnsi="David" w:cs="David" w:hint="cs"/>
          <w:sz w:val="16"/>
          <w:szCs w:val="16"/>
          <w:rtl/>
        </w:rPr>
        <w:t xml:space="preserve">  </w:t>
      </w:r>
    </w:p>
    <w:p w14:paraId="6D140F74" w14:textId="18FB67EB" w:rsidR="009B37FA" w:rsidRPr="008F52F2" w:rsidRDefault="008F52F2" w:rsidP="008F52F2">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b/>
          <w:bCs/>
          <w:sz w:val="28"/>
          <w:szCs w:val="28"/>
          <w:u w:val="single"/>
          <w:rtl/>
        </w:rPr>
        <w:t xml:space="preserve"> </w:t>
      </w:r>
    </w:p>
    <w:p w14:paraId="3CB1E9A8" w14:textId="77777777" w:rsidR="005253EB" w:rsidRDefault="005253EB" w:rsidP="005253EB">
      <w:pPr>
        <w:shd w:val="clear" w:color="auto" w:fill="FFFFFF"/>
        <w:spacing w:after="0" w:line="360" w:lineRule="auto"/>
        <w:jc w:val="both"/>
        <w:rPr>
          <w:rFonts w:ascii="David" w:hAnsi="David" w:cs="David"/>
          <w:sz w:val="16"/>
          <w:szCs w:val="16"/>
          <w:rtl/>
        </w:rPr>
      </w:pPr>
    </w:p>
    <w:p w14:paraId="41AD73A7" w14:textId="3479F703" w:rsidR="008F52F2" w:rsidRPr="008F52F2" w:rsidRDefault="005253EB" w:rsidP="00677520">
      <w:pPr>
        <w:shd w:val="clear" w:color="auto" w:fill="FFFFFF"/>
        <w:spacing w:after="0" w:line="360" w:lineRule="auto"/>
        <w:ind w:left="6120"/>
        <w:jc w:val="both"/>
        <w:rPr>
          <w:rFonts w:ascii="David" w:hAnsi="David" w:cs="David"/>
          <w:sz w:val="28"/>
          <w:szCs w:val="28"/>
          <w:rtl/>
        </w:rPr>
      </w:pPr>
      <w:r>
        <w:rPr>
          <w:rFonts w:ascii="David" w:hAnsi="David" w:cs="David" w:hint="cs"/>
          <w:sz w:val="24"/>
          <w:szCs w:val="24"/>
          <w:rtl/>
        </w:rPr>
        <w:t xml:space="preserve">    </w:t>
      </w:r>
    </w:p>
    <w:p w14:paraId="72ABD1CC" w14:textId="66964F83" w:rsidR="005253EB" w:rsidRPr="008F52F2" w:rsidRDefault="005253EB" w:rsidP="005253EB">
      <w:pPr>
        <w:shd w:val="clear" w:color="auto" w:fill="FFFFFF"/>
        <w:spacing w:after="0" w:line="360" w:lineRule="auto"/>
        <w:ind w:left="360"/>
        <w:jc w:val="center"/>
        <w:rPr>
          <w:rFonts w:ascii="David" w:hAnsi="David" w:cs="David"/>
          <w:sz w:val="28"/>
          <w:szCs w:val="28"/>
          <w:rtl/>
        </w:rPr>
      </w:pPr>
      <w:r w:rsidRPr="008F52F2">
        <w:rPr>
          <w:rFonts w:ascii="David" w:hAnsi="David" w:cs="David" w:hint="cs"/>
          <w:sz w:val="28"/>
          <w:szCs w:val="28"/>
          <w:rtl/>
        </w:rPr>
        <w:t xml:space="preserve">                            </w:t>
      </w:r>
    </w:p>
    <w:p w14:paraId="449C66A9" w14:textId="77777777" w:rsidR="00C85272" w:rsidRPr="008F52F2" w:rsidRDefault="00C85272" w:rsidP="005253EB">
      <w:pPr>
        <w:shd w:val="clear" w:color="auto" w:fill="FFFFFF"/>
        <w:spacing w:after="0" w:line="360" w:lineRule="auto"/>
        <w:ind w:left="360"/>
        <w:jc w:val="center"/>
        <w:rPr>
          <w:rFonts w:ascii="David" w:hAnsi="David" w:cs="David"/>
          <w:sz w:val="28"/>
          <w:szCs w:val="28"/>
          <w:rtl/>
        </w:rPr>
      </w:pPr>
    </w:p>
    <w:p w14:paraId="3F1B3C6F" w14:textId="7248ADBB" w:rsidR="00C85272" w:rsidRPr="00C85272" w:rsidRDefault="00C85272" w:rsidP="00677520">
      <w:pPr>
        <w:shd w:val="clear" w:color="auto" w:fill="FFFFFF"/>
        <w:spacing w:after="0" w:line="360" w:lineRule="auto"/>
        <w:ind w:left="360"/>
        <w:rPr>
          <w:rFonts w:ascii="David" w:hAnsi="David" w:cs="David"/>
          <w:sz w:val="16"/>
          <w:szCs w:val="16"/>
        </w:rPr>
      </w:pPr>
    </w:p>
    <w:sectPr w:rsidR="00C85272" w:rsidRPr="00C85272" w:rsidSect="005B347B">
      <w:headerReference w:type="default" r:id="rId8"/>
      <w:footerReference w:type="default" r:id="rId9"/>
      <w:pgSz w:w="11906" w:h="16838"/>
      <w:pgMar w:top="113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7CF65" w14:textId="77777777" w:rsidR="00677520" w:rsidRDefault="00677520" w:rsidP="00677520">
      <w:pPr>
        <w:spacing w:after="0" w:line="240" w:lineRule="auto"/>
      </w:pPr>
      <w:r>
        <w:separator/>
      </w:r>
    </w:p>
  </w:endnote>
  <w:endnote w:type="continuationSeparator" w:id="0">
    <w:p w14:paraId="58CA62C4" w14:textId="77777777" w:rsidR="00677520" w:rsidRDefault="00677520" w:rsidP="0067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08285702"/>
      <w:docPartObj>
        <w:docPartGallery w:val="Page Numbers (Bottom of Page)"/>
        <w:docPartUnique/>
      </w:docPartObj>
    </w:sdtPr>
    <w:sdtContent>
      <w:p w14:paraId="462B567C" w14:textId="6080B17D" w:rsidR="00677520" w:rsidRDefault="00677520">
        <w:pPr>
          <w:pStyle w:val="a8"/>
          <w:jc w:val="center"/>
        </w:pPr>
        <w:r>
          <w:fldChar w:fldCharType="begin"/>
        </w:r>
        <w:r>
          <w:instrText>PAGE   \* MERGEFORMAT</w:instrText>
        </w:r>
        <w:r>
          <w:fldChar w:fldCharType="separate"/>
        </w:r>
        <w:r>
          <w:rPr>
            <w:rtl/>
            <w:lang w:val="he-IL"/>
          </w:rPr>
          <w:t>2</w:t>
        </w:r>
        <w:r>
          <w:fldChar w:fldCharType="end"/>
        </w:r>
      </w:p>
    </w:sdtContent>
  </w:sdt>
  <w:p w14:paraId="6F64387C" w14:textId="77777777" w:rsidR="00677520" w:rsidRDefault="006775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9C7A6" w14:textId="77777777" w:rsidR="00677520" w:rsidRDefault="00677520" w:rsidP="00677520">
      <w:pPr>
        <w:spacing w:after="0" w:line="240" w:lineRule="auto"/>
      </w:pPr>
      <w:r>
        <w:separator/>
      </w:r>
    </w:p>
  </w:footnote>
  <w:footnote w:type="continuationSeparator" w:id="0">
    <w:p w14:paraId="78DCFF3D" w14:textId="77777777" w:rsidR="00677520" w:rsidRDefault="00677520" w:rsidP="00677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974804813"/>
      <w:docPartObj>
        <w:docPartGallery w:val="Page Numbers (Top of Page)"/>
        <w:docPartUnique/>
      </w:docPartObj>
    </w:sdtPr>
    <w:sdtContent>
      <w:p w14:paraId="54DF6DD4" w14:textId="0277CCD9" w:rsidR="00677520" w:rsidRDefault="00677520">
        <w:pPr>
          <w:pStyle w:val="a6"/>
          <w:jc w:val="center"/>
        </w:pPr>
        <w:r>
          <w:fldChar w:fldCharType="begin"/>
        </w:r>
        <w:r>
          <w:instrText>PAGE   \* MERGEFORMAT</w:instrText>
        </w:r>
        <w:r>
          <w:fldChar w:fldCharType="separate"/>
        </w:r>
        <w:r>
          <w:rPr>
            <w:rtl/>
            <w:lang w:val="he-IL"/>
          </w:rPr>
          <w:t>2</w:t>
        </w:r>
        <w:r>
          <w:fldChar w:fldCharType="end"/>
        </w:r>
      </w:p>
    </w:sdtContent>
  </w:sdt>
  <w:p w14:paraId="50556E06" w14:textId="77777777" w:rsidR="00677520" w:rsidRDefault="0067752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105A"/>
    <w:multiLevelType w:val="hybridMultilevel"/>
    <w:tmpl w:val="D4846E86"/>
    <w:lvl w:ilvl="0" w:tplc="D8526B9C">
      <w:start w:val="1"/>
      <w:numFmt w:val="decimal"/>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1" w15:restartNumberingAfterBreak="0">
    <w:nsid w:val="07E347A1"/>
    <w:multiLevelType w:val="hybridMultilevel"/>
    <w:tmpl w:val="5FE6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6F2052"/>
    <w:multiLevelType w:val="hybridMultilevel"/>
    <w:tmpl w:val="4A2CD1F6"/>
    <w:lvl w:ilvl="0" w:tplc="A9D4B7EC">
      <w:start w:val="1"/>
      <w:numFmt w:val="hebrew1"/>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E6F776D"/>
    <w:multiLevelType w:val="hybridMultilevel"/>
    <w:tmpl w:val="0FF48A80"/>
    <w:lvl w:ilvl="0" w:tplc="9C48EDD2">
      <w:start w:val="1"/>
      <w:numFmt w:val="hebrew1"/>
      <w:lvlText w:val="%1)"/>
      <w:lvlJc w:val="left"/>
      <w:pPr>
        <w:ind w:left="755" w:hanging="36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4" w15:restartNumberingAfterBreak="0">
    <w:nsid w:val="1B041EFB"/>
    <w:multiLevelType w:val="hybridMultilevel"/>
    <w:tmpl w:val="9BB4F246"/>
    <w:lvl w:ilvl="0" w:tplc="F356F48C">
      <w:start w:val="1"/>
      <w:numFmt w:val="decimal"/>
      <w:lvlText w:val="%1."/>
      <w:lvlJc w:val="left"/>
      <w:pPr>
        <w:ind w:left="1069" w:hanging="360"/>
      </w:pPr>
      <w:rPr>
        <w:rFonts w:eastAsia="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DD0A80"/>
    <w:multiLevelType w:val="multilevel"/>
    <w:tmpl w:val="F0522904"/>
    <w:lvl w:ilvl="0">
      <w:start w:val="70"/>
      <w:numFmt w:val="decimal"/>
      <w:lvlText w:val="%1"/>
      <w:lvlJc w:val="left"/>
      <w:pPr>
        <w:ind w:left="390" w:hanging="390"/>
      </w:pPr>
      <w:rPr>
        <w:rFonts w:hint="default"/>
      </w:rPr>
    </w:lvl>
    <w:lvl w:ilvl="1">
      <w:start w:val="1"/>
      <w:numFmt w:val="decimal"/>
      <w:lvlText w:val="%1.%2"/>
      <w:lvlJc w:val="left"/>
      <w:pPr>
        <w:ind w:left="899" w:hanging="390"/>
      </w:pPr>
      <w:rPr>
        <w:rFonts w:hint="default"/>
      </w:rPr>
    </w:lvl>
    <w:lvl w:ilvl="2">
      <w:start w:val="1"/>
      <w:numFmt w:val="decimal"/>
      <w:lvlText w:val="%1.%2.%3"/>
      <w:lvlJc w:val="left"/>
      <w:pPr>
        <w:ind w:left="1738" w:hanging="720"/>
      </w:pPr>
      <w:rPr>
        <w:rFonts w:hint="default"/>
      </w:rPr>
    </w:lvl>
    <w:lvl w:ilvl="3">
      <w:start w:val="1"/>
      <w:numFmt w:val="decimal"/>
      <w:lvlText w:val="%1.%2.%3.%4"/>
      <w:lvlJc w:val="left"/>
      <w:pPr>
        <w:ind w:left="2247" w:hanging="720"/>
      </w:pPr>
      <w:rPr>
        <w:rFonts w:hint="default"/>
      </w:rPr>
    </w:lvl>
    <w:lvl w:ilvl="4">
      <w:start w:val="1"/>
      <w:numFmt w:val="decimal"/>
      <w:lvlText w:val="%1.%2.%3.%4.%5"/>
      <w:lvlJc w:val="left"/>
      <w:pPr>
        <w:ind w:left="3116" w:hanging="1080"/>
      </w:pPr>
      <w:rPr>
        <w:rFonts w:hint="default"/>
      </w:rPr>
    </w:lvl>
    <w:lvl w:ilvl="5">
      <w:start w:val="1"/>
      <w:numFmt w:val="decimal"/>
      <w:lvlText w:val="%1.%2.%3.%4.%5.%6"/>
      <w:lvlJc w:val="left"/>
      <w:pPr>
        <w:ind w:left="3625" w:hanging="1080"/>
      </w:pPr>
      <w:rPr>
        <w:rFonts w:hint="default"/>
      </w:rPr>
    </w:lvl>
    <w:lvl w:ilvl="6">
      <w:start w:val="1"/>
      <w:numFmt w:val="decimal"/>
      <w:lvlText w:val="%1.%2.%3.%4.%5.%6.%7"/>
      <w:lvlJc w:val="left"/>
      <w:pPr>
        <w:ind w:left="4134" w:hanging="1080"/>
      </w:pPr>
      <w:rPr>
        <w:rFonts w:hint="default"/>
      </w:rPr>
    </w:lvl>
    <w:lvl w:ilvl="7">
      <w:start w:val="1"/>
      <w:numFmt w:val="decimal"/>
      <w:lvlText w:val="%1.%2.%3.%4.%5.%6.%7.%8"/>
      <w:lvlJc w:val="left"/>
      <w:pPr>
        <w:ind w:left="5003" w:hanging="1440"/>
      </w:pPr>
      <w:rPr>
        <w:rFonts w:hint="default"/>
      </w:rPr>
    </w:lvl>
    <w:lvl w:ilvl="8">
      <w:start w:val="1"/>
      <w:numFmt w:val="decimal"/>
      <w:lvlText w:val="%1.%2.%3.%4.%5.%6.%7.%8.%9"/>
      <w:lvlJc w:val="left"/>
      <w:pPr>
        <w:ind w:left="5512" w:hanging="1440"/>
      </w:pPr>
      <w:rPr>
        <w:rFonts w:hint="default"/>
      </w:rPr>
    </w:lvl>
  </w:abstractNum>
  <w:abstractNum w:abstractNumId="6" w15:restartNumberingAfterBreak="0">
    <w:nsid w:val="244516B4"/>
    <w:multiLevelType w:val="hybridMultilevel"/>
    <w:tmpl w:val="A1BC2C4A"/>
    <w:lvl w:ilvl="0" w:tplc="45565880">
      <w:start w:val="1"/>
      <w:numFmt w:val="hebrew1"/>
      <w:lvlText w:val="%1)"/>
      <w:lvlJc w:val="left"/>
      <w:pPr>
        <w:ind w:left="755" w:hanging="36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7" w15:restartNumberingAfterBreak="0">
    <w:nsid w:val="27906DA5"/>
    <w:multiLevelType w:val="multilevel"/>
    <w:tmpl w:val="2526ABAE"/>
    <w:lvl w:ilvl="0">
      <w:start w:val="68"/>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28FB575A"/>
    <w:multiLevelType w:val="hybridMultilevel"/>
    <w:tmpl w:val="6DBAD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E6F7D"/>
    <w:multiLevelType w:val="hybridMultilevel"/>
    <w:tmpl w:val="AB92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FB0C08"/>
    <w:multiLevelType w:val="hybridMultilevel"/>
    <w:tmpl w:val="2A02D5BC"/>
    <w:lvl w:ilvl="0" w:tplc="44C6E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2C3E01"/>
    <w:multiLevelType w:val="hybridMultilevel"/>
    <w:tmpl w:val="DBB2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BA7A22"/>
    <w:multiLevelType w:val="hybridMultilevel"/>
    <w:tmpl w:val="2036F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A7E6A"/>
    <w:multiLevelType w:val="hybridMultilevel"/>
    <w:tmpl w:val="80D02E14"/>
    <w:lvl w:ilvl="0" w:tplc="EE82A5B4">
      <w:start w:val="1"/>
      <w:numFmt w:val="hebrew1"/>
      <w:lvlText w:val="%1)"/>
      <w:lvlJc w:val="left"/>
      <w:pPr>
        <w:ind w:left="755" w:hanging="36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4" w15:restartNumberingAfterBreak="0">
    <w:nsid w:val="52D17527"/>
    <w:multiLevelType w:val="multilevel"/>
    <w:tmpl w:val="72E0846A"/>
    <w:lvl w:ilvl="0">
      <w:start w:val="68"/>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72" w:hanging="720"/>
      </w:pPr>
      <w:rPr>
        <w:rFonts w:hint="default"/>
      </w:rPr>
    </w:lvl>
    <w:lvl w:ilvl="3">
      <w:start w:val="1"/>
      <w:numFmt w:val="decimal"/>
      <w:lvlText w:val="%1.%2.%3.%4"/>
      <w:lvlJc w:val="left"/>
      <w:pPr>
        <w:ind w:left="3948" w:hanging="72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460" w:hanging="1080"/>
      </w:pPr>
      <w:rPr>
        <w:rFonts w:hint="default"/>
      </w:rPr>
    </w:lvl>
    <w:lvl w:ilvl="6">
      <w:start w:val="1"/>
      <w:numFmt w:val="decimal"/>
      <w:lvlText w:val="%1.%2.%3.%4.%5.%6.%7"/>
      <w:lvlJc w:val="left"/>
      <w:pPr>
        <w:ind w:left="7536" w:hanging="1080"/>
      </w:pPr>
      <w:rPr>
        <w:rFonts w:hint="default"/>
      </w:rPr>
    </w:lvl>
    <w:lvl w:ilvl="7">
      <w:start w:val="1"/>
      <w:numFmt w:val="decimal"/>
      <w:lvlText w:val="%1.%2.%3.%4.%5.%6.%7.%8"/>
      <w:lvlJc w:val="left"/>
      <w:pPr>
        <w:ind w:left="8972" w:hanging="1440"/>
      </w:pPr>
      <w:rPr>
        <w:rFonts w:hint="default"/>
      </w:rPr>
    </w:lvl>
    <w:lvl w:ilvl="8">
      <w:start w:val="1"/>
      <w:numFmt w:val="decimal"/>
      <w:lvlText w:val="%1.%2.%3.%4.%5.%6.%7.%8.%9"/>
      <w:lvlJc w:val="left"/>
      <w:pPr>
        <w:ind w:left="10048" w:hanging="1440"/>
      </w:pPr>
      <w:rPr>
        <w:rFonts w:hint="default"/>
      </w:rPr>
    </w:lvl>
  </w:abstractNum>
  <w:abstractNum w:abstractNumId="15" w15:restartNumberingAfterBreak="0">
    <w:nsid w:val="538736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1B6485"/>
    <w:multiLevelType w:val="hybridMultilevel"/>
    <w:tmpl w:val="908CC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476FB0"/>
    <w:multiLevelType w:val="hybridMultilevel"/>
    <w:tmpl w:val="E5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9664C3"/>
    <w:multiLevelType w:val="hybridMultilevel"/>
    <w:tmpl w:val="B99C3880"/>
    <w:lvl w:ilvl="0" w:tplc="45D68494">
      <w:start w:val="1"/>
      <w:numFmt w:val="hebrew1"/>
      <w:lvlText w:val="%1)"/>
      <w:lvlJc w:val="left"/>
      <w:pPr>
        <w:ind w:left="755" w:hanging="36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9" w15:restartNumberingAfterBreak="0">
    <w:nsid w:val="6667417A"/>
    <w:multiLevelType w:val="hybridMultilevel"/>
    <w:tmpl w:val="14C410F2"/>
    <w:lvl w:ilvl="0" w:tplc="CE229880">
      <w:start w:val="1"/>
      <w:numFmt w:val="hebrew1"/>
      <w:lvlText w:val="%1."/>
      <w:lvlJc w:val="left"/>
      <w:pPr>
        <w:ind w:left="755" w:hanging="36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0" w15:restartNumberingAfterBreak="0">
    <w:nsid w:val="6AC96522"/>
    <w:multiLevelType w:val="hybridMultilevel"/>
    <w:tmpl w:val="6D8894DC"/>
    <w:lvl w:ilvl="0" w:tplc="BEAE8FF6">
      <w:start w:val="1"/>
      <w:numFmt w:val="hebrew1"/>
      <w:lvlText w:val="%1-"/>
      <w:lvlJc w:val="left"/>
      <w:pPr>
        <w:ind w:left="755" w:hanging="36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1" w15:restartNumberingAfterBreak="0">
    <w:nsid w:val="6D0112F4"/>
    <w:multiLevelType w:val="hybridMultilevel"/>
    <w:tmpl w:val="CAF6EE1C"/>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843C60"/>
    <w:multiLevelType w:val="hybridMultilevel"/>
    <w:tmpl w:val="185CF0DC"/>
    <w:lvl w:ilvl="0" w:tplc="78061F32">
      <w:start w:val="1"/>
      <w:numFmt w:val="hebrew1"/>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72FB5963"/>
    <w:multiLevelType w:val="multilevel"/>
    <w:tmpl w:val="DF08C59E"/>
    <w:lvl w:ilvl="0">
      <w:start w:val="66"/>
      <w:numFmt w:val="decimal"/>
      <w:lvlText w:val="%1"/>
      <w:lvlJc w:val="left"/>
      <w:pPr>
        <w:ind w:left="375" w:hanging="375"/>
      </w:pPr>
      <w:rPr>
        <w:rFonts w:hint="default"/>
      </w:rPr>
    </w:lvl>
    <w:lvl w:ilvl="1">
      <w:start w:val="1"/>
      <w:numFmt w:val="decimal"/>
      <w:lvlText w:val="%1.%2"/>
      <w:lvlJc w:val="left"/>
      <w:pPr>
        <w:ind w:left="884" w:hanging="375"/>
      </w:pPr>
      <w:rPr>
        <w:rFonts w:hint="default"/>
      </w:rPr>
    </w:lvl>
    <w:lvl w:ilvl="2">
      <w:start w:val="1"/>
      <w:numFmt w:val="decimal"/>
      <w:lvlText w:val="%1.%2.%3"/>
      <w:lvlJc w:val="left"/>
      <w:pPr>
        <w:ind w:left="1738" w:hanging="720"/>
      </w:pPr>
      <w:rPr>
        <w:rFonts w:hint="default"/>
      </w:rPr>
    </w:lvl>
    <w:lvl w:ilvl="3">
      <w:start w:val="1"/>
      <w:numFmt w:val="decimal"/>
      <w:lvlText w:val="%1.%2.%3.%4"/>
      <w:lvlJc w:val="left"/>
      <w:pPr>
        <w:ind w:left="2247" w:hanging="720"/>
      </w:pPr>
      <w:rPr>
        <w:rFonts w:hint="default"/>
      </w:rPr>
    </w:lvl>
    <w:lvl w:ilvl="4">
      <w:start w:val="1"/>
      <w:numFmt w:val="decimal"/>
      <w:lvlText w:val="%1.%2.%3.%4.%5"/>
      <w:lvlJc w:val="left"/>
      <w:pPr>
        <w:ind w:left="3116" w:hanging="1080"/>
      </w:pPr>
      <w:rPr>
        <w:rFonts w:hint="default"/>
      </w:rPr>
    </w:lvl>
    <w:lvl w:ilvl="5">
      <w:start w:val="1"/>
      <w:numFmt w:val="decimal"/>
      <w:lvlText w:val="%1.%2.%3.%4.%5.%6"/>
      <w:lvlJc w:val="left"/>
      <w:pPr>
        <w:ind w:left="3625" w:hanging="1080"/>
      </w:pPr>
      <w:rPr>
        <w:rFonts w:hint="default"/>
      </w:rPr>
    </w:lvl>
    <w:lvl w:ilvl="6">
      <w:start w:val="1"/>
      <w:numFmt w:val="decimal"/>
      <w:lvlText w:val="%1.%2.%3.%4.%5.%6.%7"/>
      <w:lvlJc w:val="left"/>
      <w:pPr>
        <w:ind w:left="4134" w:hanging="1080"/>
      </w:pPr>
      <w:rPr>
        <w:rFonts w:hint="default"/>
      </w:rPr>
    </w:lvl>
    <w:lvl w:ilvl="7">
      <w:start w:val="1"/>
      <w:numFmt w:val="decimal"/>
      <w:lvlText w:val="%1.%2.%3.%4.%5.%6.%7.%8"/>
      <w:lvlJc w:val="left"/>
      <w:pPr>
        <w:ind w:left="5003" w:hanging="1440"/>
      </w:pPr>
      <w:rPr>
        <w:rFonts w:hint="default"/>
      </w:rPr>
    </w:lvl>
    <w:lvl w:ilvl="8">
      <w:start w:val="1"/>
      <w:numFmt w:val="decimal"/>
      <w:lvlText w:val="%1.%2.%3.%4.%5.%6.%7.%8.%9"/>
      <w:lvlJc w:val="left"/>
      <w:pPr>
        <w:ind w:left="5512" w:hanging="1440"/>
      </w:pPr>
      <w:rPr>
        <w:rFonts w:hint="default"/>
      </w:rPr>
    </w:lvl>
  </w:abstractNum>
  <w:abstractNum w:abstractNumId="24" w15:restartNumberingAfterBreak="0">
    <w:nsid w:val="7BDE4659"/>
    <w:multiLevelType w:val="multilevel"/>
    <w:tmpl w:val="A57AD88E"/>
    <w:lvl w:ilvl="0">
      <w:start w:val="1"/>
      <w:numFmt w:val="decimal"/>
      <w:lvlText w:val="%1."/>
      <w:lvlJc w:val="left"/>
      <w:pPr>
        <w:tabs>
          <w:tab w:val="num" w:pos="1211"/>
        </w:tabs>
        <w:ind w:left="1211"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E33FE8"/>
    <w:multiLevelType w:val="hybridMultilevel"/>
    <w:tmpl w:val="D95A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EF0204F"/>
    <w:multiLevelType w:val="multilevel"/>
    <w:tmpl w:val="51E63D9E"/>
    <w:lvl w:ilvl="0">
      <w:start w:val="67"/>
      <w:numFmt w:val="decimal"/>
      <w:lvlText w:val="%1"/>
      <w:lvlJc w:val="left"/>
      <w:pPr>
        <w:ind w:left="375" w:hanging="375"/>
      </w:pPr>
      <w:rPr>
        <w:rFonts w:hint="default"/>
      </w:rPr>
    </w:lvl>
    <w:lvl w:ilvl="1">
      <w:start w:val="1"/>
      <w:numFmt w:val="decimal"/>
      <w:lvlText w:val="%1.%2"/>
      <w:lvlJc w:val="left"/>
      <w:pPr>
        <w:ind w:left="884" w:hanging="375"/>
      </w:pPr>
      <w:rPr>
        <w:rFonts w:hint="default"/>
      </w:rPr>
    </w:lvl>
    <w:lvl w:ilvl="2">
      <w:start w:val="1"/>
      <w:numFmt w:val="decimal"/>
      <w:lvlText w:val="%1.%2.%3"/>
      <w:lvlJc w:val="left"/>
      <w:pPr>
        <w:ind w:left="1738" w:hanging="720"/>
      </w:pPr>
      <w:rPr>
        <w:rFonts w:hint="default"/>
      </w:rPr>
    </w:lvl>
    <w:lvl w:ilvl="3">
      <w:start w:val="1"/>
      <w:numFmt w:val="decimal"/>
      <w:lvlText w:val="%1.%2.%3.%4"/>
      <w:lvlJc w:val="left"/>
      <w:pPr>
        <w:ind w:left="2247" w:hanging="720"/>
      </w:pPr>
      <w:rPr>
        <w:rFonts w:hint="default"/>
      </w:rPr>
    </w:lvl>
    <w:lvl w:ilvl="4">
      <w:start w:val="1"/>
      <w:numFmt w:val="decimal"/>
      <w:lvlText w:val="%1.%2.%3.%4.%5"/>
      <w:lvlJc w:val="left"/>
      <w:pPr>
        <w:ind w:left="3116" w:hanging="1080"/>
      </w:pPr>
      <w:rPr>
        <w:rFonts w:hint="default"/>
      </w:rPr>
    </w:lvl>
    <w:lvl w:ilvl="5">
      <w:start w:val="1"/>
      <w:numFmt w:val="decimal"/>
      <w:lvlText w:val="%1.%2.%3.%4.%5.%6"/>
      <w:lvlJc w:val="left"/>
      <w:pPr>
        <w:ind w:left="3625" w:hanging="1080"/>
      </w:pPr>
      <w:rPr>
        <w:rFonts w:hint="default"/>
      </w:rPr>
    </w:lvl>
    <w:lvl w:ilvl="6">
      <w:start w:val="1"/>
      <w:numFmt w:val="decimal"/>
      <w:lvlText w:val="%1.%2.%3.%4.%5.%6.%7"/>
      <w:lvlJc w:val="left"/>
      <w:pPr>
        <w:ind w:left="4134" w:hanging="1080"/>
      </w:pPr>
      <w:rPr>
        <w:rFonts w:hint="default"/>
      </w:rPr>
    </w:lvl>
    <w:lvl w:ilvl="7">
      <w:start w:val="1"/>
      <w:numFmt w:val="decimal"/>
      <w:lvlText w:val="%1.%2.%3.%4.%5.%6.%7.%8"/>
      <w:lvlJc w:val="left"/>
      <w:pPr>
        <w:ind w:left="5003" w:hanging="1440"/>
      </w:pPr>
      <w:rPr>
        <w:rFonts w:hint="default"/>
      </w:rPr>
    </w:lvl>
    <w:lvl w:ilvl="8">
      <w:start w:val="1"/>
      <w:numFmt w:val="decimal"/>
      <w:lvlText w:val="%1.%2.%3.%4.%5.%6.%7.%8.%9"/>
      <w:lvlJc w:val="left"/>
      <w:pPr>
        <w:ind w:left="5512" w:hanging="1440"/>
      </w:pPr>
      <w:rPr>
        <w:rFonts w:hint="default"/>
      </w:rPr>
    </w:lvl>
  </w:abstractNum>
  <w:num w:numId="1">
    <w:abstractNumId w:val="24"/>
  </w:num>
  <w:num w:numId="2">
    <w:abstractNumId w:val="10"/>
  </w:num>
  <w:num w:numId="3">
    <w:abstractNumId w:val="15"/>
  </w:num>
  <w:num w:numId="4">
    <w:abstractNumId w:val="5"/>
  </w:num>
  <w:num w:numId="5">
    <w:abstractNumId w:val="23"/>
  </w:num>
  <w:num w:numId="6">
    <w:abstractNumId w:val="26"/>
  </w:num>
  <w:num w:numId="7">
    <w:abstractNumId w:val="14"/>
  </w:num>
  <w:num w:numId="8">
    <w:abstractNumId w:val="7"/>
  </w:num>
  <w:num w:numId="9">
    <w:abstractNumId w:val="16"/>
  </w:num>
  <w:num w:numId="10">
    <w:abstractNumId w:val="8"/>
  </w:num>
  <w:num w:numId="11">
    <w:abstractNumId w:val="12"/>
  </w:num>
  <w:num w:numId="12">
    <w:abstractNumId w:val="4"/>
  </w:num>
  <w:num w:numId="13">
    <w:abstractNumId w:val="9"/>
  </w:num>
  <w:num w:numId="14">
    <w:abstractNumId w:val="1"/>
  </w:num>
  <w:num w:numId="15">
    <w:abstractNumId w:val="11"/>
  </w:num>
  <w:num w:numId="16">
    <w:abstractNumId w:val="17"/>
  </w:num>
  <w:num w:numId="17">
    <w:abstractNumId w:val="25"/>
  </w:num>
  <w:num w:numId="18">
    <w:abstractNumId w:val="0"/>
  </w:num>
  <w:num w:numId="19">
    <w:abstractNumId w:val="18"/>
  </w:num>
  <w:num w:numId="20">
    <w:abstractNumId w:val="2"/>
  </w:num>
  <w:num w:numId="21">
    <w:abstractNumId w:val="3"/>
  </w:num>
  <w:num w:numId="22">
    <w:abstractNumId w:val="13"/>
  </w:num>
  <w:num w:numId="23">
    <w:abstractNumId w:val="21"/>
  </w:num>
  <w:num w:numId="24">
    <w:abstractNumId w:val="22"/>
  </w:num>
  <w:num w:numId="25">
    <w:abstractNumId w:val="20"/>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95"/>
    <w:rsid w:val="000024AF"/>
    <w:rsid w:val="00011C80"/>
    <w:rsid w:val="00017DB2"/>
    <w:rsid w:val="00053FAC"/>
    <w:rsid w:val="00066510"/>
    <w:rsid w:val="00097E9D"/>
    <w:rsid w:val="000A2DAF"/>
    <w:rsid w:val="000B1005"/>
    <w:rsid w:val="000B159C"/>
    <w:rsid w:val="000B31CB"/>
    <w:rsid w:val="000E057F"/>
    <w:rsid w:val="000F5531"/>
    <w:rsid w:val="001302ED"/>
    <w:rsid w:val="00156351"/>
    <w:rsid w:val="001577DA"/>
    <w:rsid w:val="00187663"/>
    <w:rsid w:val="00197C8B"/>
    <w:rsid w:val="001B4728"/>
    <w:rsid w:val="001D6D7D"/>
    <w:rsid w:val="001E452A"/>
    <w:rsid w:val="001E53FB"/>
    <w:rsid w:val="001E71EA"/>
    <w:rsid w:val="002116C1"/>
    <w:rsid w:val="00234C0F"/>
    <w:rsid w:val="00237FA3"/>
    <w:rsid w:val="00246E71"/>
    <w:rsid w:val="00261DD7"/>
    <w:rsid w:val="0026476C"/>
    <w:rsid w:val="00265DF1"/>
    <w:rsid w:val="0028215A"/>
    <w:rsid w:val="0029776C"/>
    <w:rsid w:val="002A3230"/>
    <w:rsid w:val="002C03C6"/>
    <w:rsid w:val="00311F37"/>
    <w:rsid w:val="00332ED4"/>
    <w:rsid w:val="003476E5"/>
    <w:rsid w:val="003478BF"/>
    <w:rsid w:val="003656D0"/>
    <w:rsid w:val="00375AC2"/>
    <w:rsid w:val="00377D80"/>
    <w:rsid w:val="00387BDD"/>
    <w:rsid w:val="003B1ABF"/>
    <w:rsid w:val="003B24B2"/>
    <w:rsid w:val="003B26F3"/>
    <w:rsid w:val="003B6D6D"/>
    <w:rsid w:val="003B7133"/>
    <w:rsid w:val="003D2EC7"/>
    <w:rsid w:val="003E5495"/>
    <w:rsid w:val="00403306"/>
    <w:rsid w:val="0041259B"/>
    <w:rsid w:val="00422B7B"/>
    <w:rsid w:val="004265AC"/>
    <w:rsid w:val="00464FF0"/>
    <w:rsid w:val="00486004"/>
    <w:rsid w:val="004A748E"/>
    <w:rsid w:val="004C046B"/>
    <w:rsid w:val="004C04C1"/>
    <w:rsid w:val="00500249"/>
    <w:rsid w:val="005250A0"/>
    <w:rsid w:val="005253EB"/>
    <w:rsid w:val="00554C65"/>
    <w:rsid w:val="005564E8"/>
    <w:rsid w:val="0056080D"/>
    <w:rsid w:val="0057341B"/>
    <w:rsid w:val="0057388F"/>
    <w:rsid w:val="00580F9B"/>
    <w:rsid w:val="00592BA1"/>
    <w:rsid w:val="005968F1"/>
    <w:rsid w:val="00597384"/>
    <w:rsid w:val="005A4A30"/>
    <w:rsid w:val="005B347B"/>
    <w:rsid w:val="005B600F"/>
    <w:rsid w:val="005C67AB"/>
    <w:rsid w:val="005F5083"/>
    <w:rsid w:val="006353A4"/>
    <w:rsid w:val="006512BC"/>
    <w:rsid w:val="006616B8"/>
    <w:rsid w:val="00677520"/>
    <w:rsid w:val="006911E9"/>
    <w:rsid w:val="006B68DA"/>
    <w:rsid w:val="006E20B1"/>
    <w:rsid w:val="00720AC6"/>
    <w:rsid w:val="00751D05"/>
    <w:rsid w:val="00753C2D"/>
    <w:rsid w:val="00784FDA"/>
    <w:rsid w:val="007B1C6A"/>
    <w:rsid w:val="007E621A"/>
    <w:rsid w:val="007F2756"/>
    <w:rsid w:val="00805F1A"/>
    <w:rsid w:val="00814A9E"/>
    <w:rsid w:val="0082265B"/>
    <w:rsid w:val="00837510"/>
    <w:rsid w:val="00845BDE"/>
    <w:rsid w:val="00866782"/>
    <w:rsid w:val="00866B94"/>
    <w:rsid w:val="00895E28"/>
    <w:rsid w:val="008E0D07"/>
    <w:rsid w:val="008E17BF"/>
    <w:rsid w:val="008E4AF6"/>
    <w:rsid w:val="008E6541"/>
    <w:rsid w:val="008F52F2"/>
    <w:rsid w:val="00917B24"/>
    <w:rsid w:val="00934BF3"/>
    <w:rsid w:val="009710E5"/>
    <w:rsid w:val="00986704"/>
    <w:rsid w:val="009B37FA"/>
    <w:rsid w:val="009C1EFD"/>
    <w:rsid w:val="009C671A"/>
    <w:rsid w:val="009C7A81"/>
    <w:rsid w:val="00A068F2"/>
    <w:rsid w:val="00A1120D"/>
    <w:rsid w:val="00A154C9"/>
    <w:rsid w:val="00A208A1"/>
    <w:rsid w:val="00A20C87"/>
    <w:rsid w:val="00A41FFF"/>
    <w:rsid w:val="00A458E4"/>
    <w:rsid w:val="00A7264C"/>
    <w:rsid w:val="00A92895"/>
    <w:rsid w:val="00A962AF"/>
    <w:rsid w:val="00AB2846"/>
    <w:rsid w:val="00AB5657"/>
    <w:rsid w:val="00AC49D0"/>
    <w:rsid w:val="00AE4C87"/>
    <w:rsid w:val="00B11D77"/>
    <w:rsid w:val="00B43327"/>
    <w:rsid w:val="00B80D2A"/>
    <w:rsid w:val="00B828CF"/>
    <w:rsid w:val="00B833D3"/>
    <w:rsid w:val="00B92692"/>
    <w:rsid w:val="00BA05B6"/>
    <w:rsid w:val="00BF15FA"/>
    <w:rsid w:val="00BF1B38"/>
    <w:rsid w:val="00BF364E"/>
    <w:rsid w:val="00C53E73"/>
    <w:rsid w:val="00C66AAE"/>
    <w:rsid w:val="00C84DAC"/>
    <w:rsid w:val="00C85272"/>
    <w:rsid w:val="00C917AF"/>
    <w:rsid w:val="00CA14D9"/>
    <w:rsid w:val="00CA5BB9"/>
    <w:rsid w:val="00CB50F7"/>
    <w:rsid w:val="00CB66A6"/>
    <w:rsid w:val="00CC34A4"/>
    <w:rsid w:val="00CC404E"/>
    <w:rsid w:val="00CE4F45"/>
    <w:rsid w:val="00CE5EF0"/>
    <w:rsid w:val="00CF6184"/>
    <w:rsid w:val="00D17A34"/>
    <w:rsid w:val="00D45124"/>
    <w:rsid w:val="00D4636A"/>
    <w:rsid w:val="00D62147"/>
    <w:rsid w:val="00D83203"/>
    <w:rsid w:val="00D90BF4"/>
    <w:rsid w:val="00D97955"/>
    <w:rsid w:val="00DC1C9F"/>
    <w:rsid w:val="00DC4B71"/>
    <w:rsid w:val="00DE0F58"/>
    <w:rsid w:val="00DE37B1"/>
    <w:rsid w:val="00DF3940"/>
    <w:rsid w:val="00DF7D28"/>
    <w:rsid w:val="00E32B85"/>
    <w:rsid w:val="00E53B67"/>
    <w:rsid w:val="00E55A56"/>
    <w:rsid w:val="00E60770"/>
    <w:rsid w:val="00E62759"/>
    <w:rsid w:val="00E6482E"/>
    <w:rsid w:val="00E75EE8"/>
    <w:rsid w:val="00E836B9"/>
    <w:rsid w:val="00E848C0"/>
    <w:rsid w:val="00EA7875"/>
    <w:rsid w:val="00EC0FA0"/>
    <w:rsid w:val="00EC4B2B"/>
    <w:rsid w:val="00ED1EA3"/>
    <w:rsid w:val="00EF6542"/>
    <w:rsid w:val="00F128BA"/>
    <w:rsid w:val="00F33777"/>
    <w:rsid w:val="00F41FEC"/>
    <w:rsid w:val="00F614DF"/>
    <w:rsid w:val="00F80044"/>
    <w:rsid w:val="00F80A8A"/>
    <w:rsid w:val="00F8712F"/>
    <w:rsid w:val="00F94B1F"/>
    <w:rsid w:val="00FB39C5"/>
    <w:rsid w:val="00FD653E"/>
    <w:rsid w:val="00FF4B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F93C"/>
  <w15:docId w15:val="{04BDEE28-7951-467E-B1F7-542C50DD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0"/>
    <w:uiPriority w:val="9"/>
    <w:qFormat/>
    <w:rsid w:val="003E549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E549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41259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3E5495"/>
    <w:rPr>
      <w:rFonts w:ascii="Times New Roman" w:eastAsia="Times New Roman" w:hAnsi="Times New Roman" w:cs="Times New Roman"/>
      <w:b/>
      <w:bCs/>
      <w:sz w:val="36"/>
      <w:szCs w:val="36"/>
    </w:rPr>
  </w:style>
  <w:style w:type="character" w:customStyle="1" w:styleId="30">
    <w:name w:val="כותרת 3 תו"/>
    <w:basedOn w:val="a0"/>
    <w:link w:val="3"/>
    <w:uiPriority w:val="9"/>
    <w:rsid w:val="003E5495"/>
    <w:rPr>
      <w:rFonts w:ascii="Times New Roman" w:eastAsia="Times New Roman" w:hAnsi="Times New Roman" w:cs="Times New Roman"/>
      <w:b/>
      <w:bCs/>
      <w:sz w:val="27"/>
      <w:szCs w:val="27"/>
    </w:rPr>
  </w:style>
  <w:style w:type="character" w:customStyle="1" w:styleId="gd">
    <w:name w:val="gd"/>
    <w:basedOn w:val="a0"/>
    <w:rsid w:val="003E5495"/>
  </w:style>
  <w:style w:type="character" w:customStyle="1" w:styleId="g3">
    <w:name w:val="g3"/>
    <w:basedOn w:val="a0"/>
    <w:rsid w:val="003E5495"/>
  </w:style>
  <w:style w:type="character" w:customStyle="1" w:styleId="g2">
    <w:name w:val="g2"/>
    <w:basedOn w:val="a0"/>
    <w:rsid w:val="003E5495"/>
  </w:style>
  <w:style w:type="paragraph" w:styleId="a3">
    <w:name w:val="Balloon Text"/>
    <w:basedOn w:val="a"/>
    <w:link w:val="a4"/>
    <w:uiPriority w:val="99"/>
    <w:semiHidden/>
    <w:unhideWhenUsed/>
    <w:rsid w:val="003E5495"/>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3E5495"/>
    <w:rPr>
      <w:rFonts w:ascii="Tahoma" w:hAnsi="Tahoma" w:cs="Tahoma"/>
      <w:sz w:val="18"/>
      <w:szCs w:val="18"/>
    </w:rPr>
  </w:style>
  <w:style w:type="character" w:customStyle="1" w:styleId="50">
    <w:name w:val="כותרת 5 תו"/>
    <w:basedOn w:val="a0"/>
    <w:link w:val="5"/>
    <w:uiPriority w:val="9"/>
    <w:semiHidden/>
    <w:rsid w:val="0041259B"/>
    <w:rPr>
      <w:rFonts w:asciiTheme="majorHAnsi" w:eastAsiaTheme="majorEastAsia" w:hAnsiTheme="majorHAnsi" w:cstheme="majorBidi"/>
      <w:color w:val="2F5496" w:themeColor="accent1" w:themeShade="BF"/>
    </w:rPr>
  </w:style>
  <w:style w:type="paragraph" w:styleId="a5">
    <w:name w:val="List Paragraph"/>
    <w:basedOn w:val="a"/>
    <w:uiPriority w:val="34"/>
    <w:qFormat/>
    <w:rsid w:val="009C671A"/>
    <w:pPr>
      <w:ind w:left="720"/>
      <w:contextualSpacing/>
    </w:pPr>
  </w:style>
  <w:style w:type="character" w:styleId="Hyperlink">
    <w:name w:val="Hyperlink"/>
    <w:basedOn w:val="a0"/>
    <w:uiPriority w:val="99"/>
    <w:unhideWhenUsed/>
    <w:rsid w:val="00866782"/>
    <w:rPr>
      <w:color w:val="0563C1" w:themeColor="hyperlink"/>
      <w:u w:val="single"/>
    </w:rPr>
  </w:style>
  <w:style w:type="paragraph" w:styleId="a6">
    <w:name w:val="header"/>
    <w:basedOn w:val="a"/>
    <w:link w:val="a7"/>
    <w:uiPriority w:val="99"/>
    <w:unhideWhenUsed/>
    <w:rsid w:val="00677520"/>
    <w:pPr>
      <w:tabs>
        <w:tab w:val="center" w:pos="4153"/>
        <w:tab w:val="right" w:pos="8306"/>
      </w:tabs>
      <w:spacing w:after="0" w:line="240" w:lineRule="auto"/>
    </w:pPr>
  </w:style>
  <w:style w:type="character" w:customStyle="1" w:styleId="a7">
    <w:name w:val="כותרת עליונה תו"/>
    <w:basedOn w:val="a0"/>
    <w:link w:val="a6"/>
    <w:uiPriority w:val="99"/>
    <w:rsid w:val="00677520"/>
  </w:style>
  <w:style w:type="paragraph" w:styleId="a8">
    <w:name w:val="footer"/>
    <w:basedOn w:val="a"/>
    <w:link w:val="a9"/>
    <w:uiPriority w:val="99"/>
    <w:unhideWhenUsed/>
    <w:rsid w:val="00677520"/>
    <w:pPr>
      <w:tabs>
        <w:tab w:val="center" w:pos="4153"/>
        <w:tab w:val="right" w:pos="8306"/>
      </w:tabs>
      <w:spacing w:after="0" w:line="240" w:lineRule="auto"/>
    </w:pPr>
  </w:style>
  <w:style w:type="character" w:customStyle="1" w:styleId="a9">
    <w:name w:val="כותרת תחתונה תו"/>
    <w:basedOn w:val="a0"/>
    <w:link w:val="a8"/>
    <w:uiPriority w:val="99"/>
    <w:rsid w:val="0067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426278">
      <w:bodyDiv w:val="1"/>
      <w:marLeft w:val="0"/>
      <w:marRight w:val="0"/>
      <w:marTop w:val="0"/>
      <w:marBottom w:val="0"/>
      <w:divBdr>
        <w:top w:val="none" w:sz="0" w:space="0" w:color="auto"/>
        <w:left w:val="none" w:sz="0" w:space="0" w:color="auto"/>
        <w:bottom w:val="none" w:sz="0" w:space="0" w:color="auto"/>
        <w:right w:val="none" w:sz="0" w:space="0" w:color="auto"/>
      </w:divBdr>
    </w:div>
    <w:div w:id="1364287714">
      <w:bodyDiv w:val="1"/>
      <w:marLeft w:val="0"/>
      <w:marRight w:val="0"/>
      <w:marTop w:val="0"/>
      <w:marBottom w:val="0"/>
      <w:divBdr>
        <w:top w:val="none" w:sz="0" w:space="0" w:color="auto"/>
        <w:left w:val="none" w:sz="0" w:space="0" w:color="auto"/>
        <w:bottom w:val="none" w:sz="0" w:space="0" w:color="auto"/>
        <w:right w:val="none" w:sz="0" w:space="0" w:color="auto"/>
      </w:divBdr>
      <w:divsChild>
        <w:div w:id="1132674441">
          <w:marLeft w:val="0"/>
          <w:marRight w:val="0"/>
          <w:marTop w:val="0"/>
          <w:marBottom w:val="0"/>
          <w:divBdr>
            <w:top w:val="none" w:sz="0" w:space="0" w:color="auto"/>
            <w:left w:val="none" w:sz="0" w:space="0" w:color="auto"/>
            <w:bottom w:val="none" w:sz="0" w:space="0" w:color="auto"/>
            <w:right w:val="none" w:sz="0" w:space="0" w:color="auto"/>
          </w:divBdr>
          <w:divsChild>
            <w:div w:id="728386086">
              <w:marLeft w:val="0"/>
              <w:marRight w:val="0"/>
              <w:marTop w:val="0"/>
              <w:marBottom w:val="0"/>
              <w:divBdr>
                <w:top w:val="none" w:sz="0" w:space="0" w:color="auto"/>
                <w:left w:val="none" w:sz="0" w:space="0" w:color="auto"/>
                <w:bottom w:val="none" w:sz="0" w:space="0" w:color="auto"/>
                <w:right w:val="none" w:sz="0" w:space="0" w:color="auto"/>
              </w:divBdr>
              <w:divsChild>
                <w:div w:id="17814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6650">
          <w:marLeft w:val="0"/>
          <w:marRight w:val="0"/>
          <w:marTop w:val="0"/>
          <w:marBottom w:val="0"/>
          <w:divBdr>
            <w:top w:val="none" w:sz="0" w:space="0" w:color="auto"/>
            <w:left w:val="none" w:sz="0" w:space="0" w:color="auto"/>
            <w:bottom w:val="none" w:sz="0" w:space="0" w:color="auto"/>
            <w:right w:val="none" w:sz="0" w:space="0" w:color="auto"/>
          </w:divBdr>
          <w:divsChild>
            <w:div w:id="962227606">
              <w:marLeft w:val="0"/>
              <w:marRight w:val="0"/>
              <w:marTop w:val="0"/>
              <w:marBottom w:val="0"/>
              <w:divBdr>
                <w:top w:val="none" w:sz="0" w:space="0" w:color="auto"/>
                <w:left w:val="none" w:sz="0" w:space="0" w:color="auto"/>
                <w:bottom w:val="none" w:sz="0" w:space="0" w:color="auto"/>
                <w:right w:val="none" w:sz="0" w:space="0" w:color="auto"/>
              </w:divBdr>
              <w:divsChild>
                <w:div w:id="282277">
                  <w:marLeft w:val="0"/>
                  <w:marRight w:val="0"/>
                  <w:marTop w:val="0"/>
                  <w:marBottom w:val="0"/>
                  <w:divBdr>
                    <w:top w:val="none" w:sz="0" w:space="0" w:color="auto"/>
                    <w:left w:val="none" w:sz="0" w:space="0" w:color="auto"/>
                    <w:bottom w:val="none" w:sz="0" w:space="0" w:color="auto"/>
                    <w:right w:val="none" w:sz="0" w:space="0" w:color="auto"/>
                  </w:divBdr>
                  <w:divsChild>
                    <w:div w:id="1652715715">
                      <w:marLeft w:val="0"/>
                      <w:marRight w:val="0"/>
                      <w:marTop w:val="0"/>
                      <w:marBottom w:val="0"/>
                      <w:divBdr>
                        <w:top w:val="none" w:sz="0" w:space="0" w:color="auto"/>
                        <w:left w:val="none" w:sz="0" w:space="0" w:color="auto"/>
                        <w:bottom w:val="none" w:sz="0" w:space="0" w:color="auto"/>
                        <w:right w:val="none" w:sz="0" w:space="0" w:color="auto"/>
                      </w:divBdr>
                      <w:divsChild>
                        <w:div w:id="1055352998">
                          <w:marLeft w:val="0"/>
                          <w:marRight w:val="0"/>
                          <w:marTop w:val="0"/>
                          <w:marBottom w:val="0"/>
                          <w:divBdr>
                            <w:top w:val="single" w:sz="2" w:space="0" w:color="EFEFEF"/>
                            <w:left w:val="none" w:sz="0" w:space="0" w:color="auto"/>
                            <w:bottom w:val="none" w:sz="0" w:space="0" w:color="auto"/>
                            <w:right w:val="none" w:sz="0" w:space="0" w:color="auto"/>
                          </w:divBdr>
                          <w:divsChild>
                            <w:div w:id="686752473">
                              <w:marLeft w:val="0"/>
                              <w:marRight w:val="0"/>
                              <w:marTop w:val="0"/>
                              <w:marBottom w:val="0"/>
                              <w:divBdr>
                                <w:top w:val="none" w:sz="0" w:space="0" w:color="auto"/>
                                <w:left w:val="none" w:sz="0" w:space="0" w:color="auto"/>
                                <w:bottom w:val="none" w:sz="0" w:space="0" w:color="auto"/>
                                <w:right w:val="none" w:sz="0" w:space="0" w:color="auto"/>
                              </w:divBdr>
                              <w:divsChild>
                                <w:div w:id="1567956965">
                                  <w:marLeft w:val="0"/>
                                  <w:marRight w:val="0"/>
                                  <w:marTop w:val="0"/>
                                  <w:marBottom w:val="0"/>
                                  <w:divBdr>
                                    <w:top w:val="none" w:sz="0" w:space="0" w:color="auto"/>
                                    <w:left w:val="none" w:sz="0" w:space="0" w:color="auto"/>
                                    <w:bottom w:val="none" w:sz="0" w:space="0" w:color="auto"/>
                                    <w:right w:val="none" w:sz="0" w:space="0" w:color="auto"/>
                                  </w:divBdr>
                                  <w:divsChild>
                                    <w:div w:id="1385131004">
                                      <w:marLeft w:val="0"/>
                                      <w:marRight w:val="0"/>
                                      <w:marTop w:val="0"/>
                                      <w:marBottom w:val="0"/>
                                      <w:divBdr>
                                        <w:top w:val="none" w:sz="0" w:space="0" w:color="auto"/>
                                        <w:left w:val="none" w:sz="0" w:space="0" w:color="auto"/>
                                        <w:bottom w:val="none" w:sz="0" w:space="0" w:color="auto"/>
                                        <w:right w:val="none" w:sz="0" w:space="0" w:color="auto"/>
                                      </w:divBdr>
                                      <w:divsChild>
                                        <w:div w:id="1971087913">
                                          <w:marLeft w:val="0"/>
                                          <w:marRight w:val="0"/>
                                          <w:marTop w:val="0"/>
                                          <w:marBottom w:val="0"/>
                                          <w:divBdr>
                                            <w:top w:val="none" w:sz="0" w:space="0" w:color="auto"/>
                                            <w:left w:val="none" w:sz="0" w:space="0" w:color="auto"/>
                                            <w:bottom w:val="none" w:sz="0" w:space="0" w:color="auto"/>
                                            <w:right w:val="none" w:sz="0" w:space="0" w:color="auto"/>
                                          </w:divBdr>
                                          <w:divsChild>
                                            <w:div w:id="877667099">
                                              <w:marLeft w:val="0"/>
                                              <w:marRight w:val="0"/>
                                              <w:marTop w:val="0"/>
                                              <w:marBottom w:val="0"/>
                                              <w:divBdr>
                                                <w:top w:val="none" w:sz="0" w:space="0" w:color="auto"/>
                                                <w:left w:val="none" w:sz="0" w:space="0" w:color="auto"/>
                                                <w:bottom w:val="none" w:sz="0" w:space="0" w:color="auto"/>
                                                <w:right w:val="none" w:sz="0" w:space="0" w:color="auto"/>
                                              </w:divBdr>
                                              <w:divsChild>
                                                <w:div w:id="1136722352">
                                                  <w:marLeft w:val="0"/>
                                                  <w:marRight w:val="0"/>
                                                  <w:marTop w:val="0"/>
                                                  <w:marBottom w:val="0"/>
                                                  <w:divBdr>
                                                    <w:top w:val="none" w:sz="0" w:space="0" w:color="auto"/>
                                                    <w:left w:val="none" w:sz="0" w:space="0" w:color="auto"/>
                                                    <w:bottom w:val="none" w:sz="0" w:space="0" w:color="auto"/>
                                                    <w:right w:val="none" w:sz="0" w:space="0" w:color="auto"/>
                                                  </w:divBdr>
                                                </w:div>
                                              </w:divsChild>
                                            </w:div>
                                            <w:div w:id="2095205591">
                                              <w:marLeft w:val="0"/>
                                              <w:marRight w:val="0"/>
                                              <w:marTop w:val="0"/>
                                              <w:marBottom w:val="0"/>
                                              <w:divBdr>
                                                <w:top w:val="none" w:sz="0" w:space="0" w:color="auto"/>
                                                <w:left w:val="none" w:sz="0" w:space="0" w:color="auto"/>
                                                <w:bottom w:val="none" w:sz="0" w:space="0" w:color="auto"/>
                                                <w:right w:val="none" w:sz="0" w:space="0" w:color="auto"/>
                                              </w:divBdr>
                                              <w:divsChild>
                                                <w:div w:id="2137680544">
                                                  <w:marLeft w:val="0"/>
                                                  <w:marRight w:val="0"/>
                                                  <w:marTop w:val="0"/>
                                                  <w:marBottom w:val="0"/>
                                                  <w:divBdr>
                                                    <w:top w:val="none" w:sz="0" w:space="0" w:color="auto"/>
                                                    <w:left w:val="none" w:sz="0" w:space="0" w:color="auto"/>
                                                    <w:bottom w:val="none" w:sz="0" w:space="0" w:color="auto"/>
                                                    <w:right w:val="none" w:sz="0" w:space="0" w:color="auto"/>
                                                  </w:divBdr>
                                                  <w:divsChild>
                                                    <w:div w:id="628508680">
                                                      <w:marLeft w:val="0"/>
                                                      <w:marRight w:val="0"/>
                                                      <w:marTop w:val="0"/>
                                                      <w:marBottom w:val="0"/>
                                                      <w:divBdr>
                                                        <w:top w:val="none" w:sz="0" w:space="0" w:color="auto"/>
                                                        <w:left w:val="none" w:sz="0" w:space="0" w:color="auto"/>
                                                        <w:bottom w:val="none" w:sz="0" w:space="0" w:color="auto"/>
                                                        <w:right w:val="none" w:sz="0" w:space="0" w:color="auto"/>
                                                      </w:divBdr>
                                                    </w:div>
                                                    <w:div w:id="2079329069">
                                                      <w:marLeft w:val="0"/>
                                                      <w:marRight w:val="300"/>
                                                      <w:marTop w:val="0"/>
                                                      <w:marBottom w:val="0"/>
                                                      <w:divBdr>
                                                        <w:top w:val="none" w:sz="0" w:space="0" w:color="auto"/>
                                                        <w:left w:val="none" w:sz="0" w:space="0" w:color="auto"/>
                                                        <w:bottom w:val="none" w:sz="0" w:space="0" w:color="auto"/>
                                                        <w:right w:val="none" w:sz="0" w:space="0" w:color="auto"/>
                                                      </w:divBdr>
                                                    </w:div>
                                                    <w:div w:id="944116669">
                                                      <w:marLeft w:val="0"/>
                                                      <w:marRight w:val="300"/>
                                                      <w:marTop w:val="0"/>
                                                      <w:marBottom w:val="0"/>
                                                      <w:divBdr>
                                                        <w:top w:val="none" w:sz="0" w:space="0" w:color="auto"/>
                                                        <w:left w:val="none" w:sz="0" w:space="0" w:color="auto"/>
                                                        <w:bottom w:val="none" w:sz="0" w:space="0" w:color="auto"/>
                                                        <w:right w:val="none" w:sz="0" w:space="0" w:color="auto"/>
                                                      </w:divBdr>
                                                    </w:div>
                                                    <w:div w:id="1171528257">
                                                      <w:marLeft w:val="0"/>
                                                      <w:marRight w:val="0"/>
                                                      <w:marTop w:val="0"/>
                                                      <w:marBottom w:val="0"/>
                                                      <w:divBdr>
                                                        <w:top w:val="none" w:sz="0" w:space="0" w:color="auto"/>
                                                        <w:left w:val="none" w:sz="0" w:space="0" w:color="auto"/>
                                                        <w:bottom w:val="none" w:sz="0" w:space="0" w:color="auto"/>
                                                        <w:right w:val="none" w:sz="0" w:space="0" w:color="auto"/>
                                                      </w:divBdr>
                                                    </w:div>
                                                    <w:div w:id="964311452">
                                                      <w:marLeft w:val="0"/>
                                                      <w:marRight w:val="60"/>
                                                      <w:marTop w:val="0"/>
                                                      <w:marBottom w:val="0"/>
                                                      <w:divBdr>
                                                        <w:top w:val="none" w:sz="0" w:space="0" w:color="auto"/>
                                                        <w:left w:val="none" w:sz="0" w:space="0" w:color="auto"/>
                                                        <w:bottom w:val="none" w:sz="0" w:space="0" w:color="auto"/>
                                                        <w:right w:val="none" w:sz="0" w:space="0" w:color="auto"/>
                                                      </w:divBdr>
                                                    </w:div>
                                                  </w:divsChild>
                                                </w:div>
                                                <w:div w:id="470175596">
                                                  <w:marLeft w:val="0"/>
                                                  <w:marRight w:val="0"/>
                                                  <w:marTop w:val="0"/>
                                                  <w:marBottom w:val="0"/>
                                                  <w:divBdr>
                                                    <w:top w:val="none" w:sz="0" w:space="0" w:color="auto"/>
                                                    <w:left w:val="none" w:sz="0" w:space="0" w:color="auto"/>
                                                    <w:bottom w:val="none" w:sz="0" w:space="0" w:color="auto"/>
                                                    <w:right w:val="none" w:sz="0" w:space="0" w:color="auto"/>
                                                  </w:divBdr>
                                                  <w:divsChild>
                                                    <w:div w:id="741872475">
                                                      <w:marLeft w:val="0"/>
                                                      <w:marRight w:val="0"/>
                                                      <w:marTop w:val="120"/>
                                                      <w:marBottom w:val="0"/>
                                                      <w:divBdr>
                                                        <w:top w:val="none" w:sz="0" w:space="0" w:color="auto"/>
                                                        <w:left w:val="none" w:sz="0" w:space="0" w:color="auto"/>
                                                        <w:bottom w:val="none" w:sz="0" w:space="0" w:color="auto"/>
                                                        <w:right w:val="none" w:sz="0" w:space="0" w:color="auto"/>
                                                      </w:divBdr>
                                                      <w:divsChild>
                                                        <w:div w:id="2002200016">
                                                          <w:marLeft w:val="0"/>
                                                          <w:marRight w:val="0"/>
                                                          <w:marTop w:val="0"/>
                                                          <w:marBottom w:val="0"/>
                                                          <w:divBdr>
                                                            <w:top w:val="none" w:sz="0" w:space="0" w:color="auto"/>
                                                            <w:left w:val="none" w:sz="0" w:space="0" w:color="auto"/>
                                                            <w:bottom w:val="none" w:sz="0" w:space="0" w:color="auto"/>
                                                            <w:right w:val="none" w:sz="0" w:space="0" w:color="auto"/>
                                                          </w:divBdr>
                                                          <w:divsChild>
                                                            <w:div w:id="1765220237">
                                                              <w:marLeft w:val="0"/>
                                                              <w:marRight w:val="0"/>
                                                              <w:marTop w:val="0"/>
                                                              <w:marBottom w:val="0"/>
                                                              <w:divBdr>
                                                                <w:top w:val="none" w:sz="0" w:space="0" w:color="auto"/>
                                                                <w:left w:val="none" w:sz="0" w:space="0" w:color="auto"/>
                                                                <w:bottom w:val="none" w:sz="0" w:space="0" w:color="auto"/>
                                                                <w:right w:val="none" w:sz="0" w:space="0" w:color="auto"/>
                                                              </w:divBdr>
                                                              <w:divsChild>
                                                                <w:div w:id="381365949">
                                                                  <w:marLeft w:val="0"/>
                                                                  <w:marRight w:val="0"/>
                                                                  <w:marTop w:val="0"/>
                                                                  <w:marBottom w:val="0"/>
                                                                  <w:divBdr>
                                                                    <w:top w:val="none" w:sz="0" w:space="0" w:color="auto"/>
                                                                    <w:left w:val="none" w:sz="0" w:space="0" w:color="auto"/>
                                                                    <w:bottom w:val="none" w:sz="0" w:space="0" w:color="auto"/>
                                                                    <w:right w:val="none" w:sz="0" w:space="0" w:color="auto"/>
                                                                  </w:divBdr>
                                                                </w:div>
                                                                <w:div w:id="706948945">
                                                                  <w:marLeft w:val="0"/>
                                                                  <w:marRight w:val="0"/>
                                                                  <w:marTop w:val="0"/>
                                                                  <w:marBottom w:val="0"/>
                                                                  <w:divBdr>
                                                                    <w:top w:val="none" w:sz="0" w:space="0" w:color="auto"/>
                                                                    <w:left w:val="none" w:sz="0" w:space="0" w:color="auto"/>
                                                                    <w:bottom w:val="none" w:sz="0" w:space="0" w:color="auto"/>
                                                                    <w:right w:val="none" w:sz="0" w:space="0" w:color="auto"/>
                                                                  </w:divBdr>
                                                                </w:div>
                                                                <w:div w:id="1187332838">
                                                                  <w:marLeft w:val="0"/>
                                                                  <w:marRight w:val="0"/>
                                                                  <w:marTop w:val="0"/>
                                                                  <w:marBottom w:val="0"/>
                                                                  <w:divBdr>
                                                                    <w:top w:val="none" w:sz="0" w:space="0" w:color="auto"/>
                                                                    <w:left w:val="none" w:sz="0" w:space="0" w:color="auto"/>
                                                                    <w:bottom w:val="none" w:sz="0" w:space="0" w:color="auto"/>
                                                                    <w:right w:val="none" w:sz="0" w:space="0" w:color="auto"/>
                                                                  </w:divBdr>
                                                                </w:div>
                                                                <w:div w:id="349071848">
                                                                  <w:marLeft w:val="0"/>
                                                                  <w:marRight w:val="0"/>
                                                                  <w:marTop w:val="0"/>
                                                                  <w:marBottom w:val="0"/>
                                                                  <w:divBdr>
                                                                    <w:top w:val="none" w:sz="0" w:space="0" w:color="auto"/>
                                                                    <w:left w:val="none" w:sz="0" w:space="0" w:color="auto"/>
                                                                    <w:bottom w:val="none" w:sz="0" w:space="0" w:color="auto"/>
                                                                    <w:right w:val="none" w:sz="0" w:space="0" w:color="auto"/>
                                                                  </w:divBdr>
                                                                </w:div>
                                                                <w:div w:id="406152448">
                                                                  <w:marLeft w:val="0"/>
                                                                  <w:marRight w:val="0"/>
                                                                  <w:marTop w:val="0"/>
                                                                  <w:marBottom w:val="0"/>
                                                                  <w:divBdr>
                                                                    <w:top w:val="none" w:sz="0" w:space="0" w:color="auto"/>
                                                                    <w:left w:val="none" w:sz="0" w:space="0" w:color="auto"/>
                                                                    <w:bottom w:val="none" w:sz="0" w:space="0" w:color="auto"/>
                                                                    <w:right w:val="none" w:sz="0" w:space="0" w:color="auto"/>
                                                                  </w:divBdr>
                                                                </w:div>
                                                                <w:div w:id="1776293646">
                                                                  <w:marLeft w:val="0"/>
                                                                  <w:marRight w:val="0"/>
                                                                  <w:marTop w:val="0"/>
                                                                  <w:marBottom w:val="0"/>
                                                                  <w:divBdr>
                                                                    <w:top w:val="none" w:sz="0" w:space="0" w:color="auto"/>
                                                                    <w:left w:val="none" w:sz="0" w:space="0" w:color="auto"/>
                                                                    <w:bottom w:val="none" w:sz="0" w:space="0" w:color="auto"/>
                                                                    <w:right w:val="none" w:sz="0" w:space="0" w:color="auto"/>
                                                                  </w:divBdr>
                                                                </w:div>
                                                                <w:div w:id="96878585">
                                                                  <w:marLeft w:val="0"/>
                                                                  <w:marRight w:val="0"/>
                                                                  <w:marTop w:val="0"/>
                                                                  <w:marBottom w:val="0"/>
                                                                  <w:divBdr>
                                                                    <w:top w:val="none" w:sz="0" w:space="0" w:color="auto"/>
                                                                    <w:left w:val="none" w:sz="0" w:space="0" w:color="auto"/>
                                                                    <w:bottom w:val="none" w:sz="0" w:space="0" w:color="auto"/>
                                                                    <w:right w:val="none" w:sz="0" w:space="0" w:color="auto"/>
                                                                  </w:divBdr>
                                                                </w:div>
                                                                <w:div w:id="1332760214">
                                                                  <w:marLeft w:val="0"/>
                                                                  <w:marRight w:val="0"/>
                                                                  <w:marTop w:val="0"/>
                                                                  <w:marBottom w:val="0"/>
                                                                  <w:divBdr>
                                                                    <w:top w:val="none" w:sz="0" w:space="0" w:color="auto"/>
                                                                    <w:left w:val="none" w:sz="0" w:space="0" w:color="auto"/>
                                                                    <w:bottom w:val="none" w:sz="0" w:space="0" w:color="auto"/>
                                                                    <w:right w:val="none" w:sz="0" w:space="0" w:color="auto"/>
                                                                  </w:divBdr>
                                                                </w:div>
                                                                <w:div w:id="1844973803">
                                                                  <w:marLeft w:val="0"/>
                                                                  <w:marRight w:val="0"/>
                                                                  <w:marTop w:val="0"/>
                                                                  <w:marBottom w:val="0"/>
                                                                  <w:divBdr>
                                                                    <w:top w:val="none" w:sz="0" w:space="0" w:color="auto"/>
                                                                    <w:left w:val="none" w:sz="0" w:space="0" w:color="auto"/>
                                                                    <w:bottom w:val="none" w:sz="0" w:space="0" w:color="auto"/>
                                                                    <w:right w:val="none" w:sz="0" w:space="0" w:color="auto"/>
                                                                  </w:divBdr>
                                                                </w:div>
                                                                <w:div w:id="568148209">
                                                                  <w:marLeft w:val="0"/>
                                                                  <w:marRight w:val="0"/>
                                                                  <w:marTop w:val="0"/>
                                                                  <w:marBottom w:val="0"/>
                                                                  <w:divBdr>
                                                                    <w:top w:val="none" w:sz="0" w:space="0" w:color="auto"/>
                                                                    <w:left w:val="none" w:sz="0" w:space="0" w:color="auto"/>
                                                                    <w:bottom w:val="none" w:sz="0" w:space="0" w:color="auto"/>
                                                                    <w:right w:val="none" w:sz="0" w:space="0" w:color="auto"/>
                                                                  </w:divBdr>
                                                                </w:div>
                                                                <w:div w:id="1993095883">
                                                                  <w:marLeft w:val="0"/>
                                                                  <w:marRight w:val="0"/>
                                                                  <w:marTop w:val="0"/>
                                                                  <w:marBottom w:val="0"/>
                                                                  <w:divBdr>
                                                                    <w:top w:val="none" w:sz="0" w:space="0" w:color="auto"/>
                                                                    <w:left w:val="none" w:sz="0" w:space="0" w:color="auto"/>
                                                                    <w:bottom w:val="none" w:sz="0" w:space="0" w:color="auto"/>
                                                                    <w:right w:val="none" w:sz="0" w:space="0" w:color="auto"/>
                                                                  </w:divBdr>
                                                                </w:div>
                                                                <w:div w:id="177700386">
                                                                  <w:marLeft w:val="0"/>
                                                                  <w:marRight w:val="0"/>
                                                                  <w:marTop w:val="0"/>
                                                                  <w:marBottom w:val="0"/>
                                                                  <w:divBdr>
                                                                    <w:top w:val="none" w:sz="0" w:space="0" w:color="auto"/>
                                                                    <w:left w:val="none" w:sz="0" w:space="0" w:color="auto"/>
                                                                    <w:bottom w:val="none" w:sz="0" w:space="0" w:color="auto"/>
                                                                    <w:right w:val="none" w:sz="0" w:space="0" w:color="auto"/>
                                                                  </w:divBdr>
                                                                </w:div>
                                                                <w:div w:id="2106219522">
                                                                  <w:marLeft w:val="0"/>
                                                                  <w:marRight w:val="0"/>
                                                                  <w:marTop w:val="0"/>
                                                                  <w:marBottom w:val="0"/>
                                                                  <w:divBdr>
                                                                    <w:top w:val="none" w:sz="0" w:space="0" w:color="auto"/>
                                                                    <w:left w:val="none" w:sz="0" w:space="0" w:color="auto"/>
                                                                    <w:bottom w:val="none" w:sz="0" w:space="0" w:color="auto"/>
                                                                    <w:right w:val="none" w:sz="0" w:space="0" w:color="auto"/>
                                                                  </w:divBdr>
                                                                </w:div>
                                                                <w:div w:id="1503618335">
                                                                  <w:marLeft w:val="0"/>
                                                                  <w:marRight w:val="0"/>
                                                                  <w:marTop w:val="0"/>
                                                                  <w:marBottom w:val="0"/>
                                                                  <w:divBdr>
                                                                    <w:top w:val="none" w:sz="0" w:space="0" w:color="auto"/>
                                                                    <w:left w:val="none" w:sz="0" w:space="0" w:color="auto"/>
                                                                    <w:bottom w:val="none" w:sz="0" w:space="0" w:color="auto"/>
                                                                    <w:right w:val="none" w:sz="0" w:space="0" w:color="auto"/>
                                                                  </w:divBdr>
                                                                </w:div>
                                                                <w:div w:id="2979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B5393-5BF3-472B-8D67-7C057858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6073</Words>
  <Characters>30367</Characters>
  <Application>Microsoft Office Word</Application>
  <DocSecurity>0</DocSecurity>
  <Lines>253</Lines>
  <Paragraphs>72</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36368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 Vazana</cp:lastModifiedBy>
  <cp:revision>2</cp:revision>
  <cp:lastPrinted>2021-03-03T11:06:00Z</cp:lastPrinted>
  <dcterms:created xsi:type="dcterms:W3CDTF">2021-03-09T09:05:00Z</dcterms:created>
  <dcterms:modified xsi:type="dcterms:W3CDTF">2021-03-09T09:05:00Z</dcterms:modified>
</cp:coreProperties>
</file>